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2EF" w:rsidRPr="005D2C9D" w:rsidRDefault="005A0F04" w:rsidP="001A2559">
      <w:pPr>
        <w:tabs>
          <w:tab w:val="left" w:pos="-720"/>
          <w:tab w:val="right" w:pos="9360"/>
        </w:tabs>
        <w:spacing w:line="240" w:lineRule="atLeast"/>
        <w:ind w:left="72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1.12</w:t>
      </w:r>
      <w:r>
        <w:rPr>
          <w:rFonts w:ascii="Times New Roman" w:hAnsi="Times New Roman"/>
          <w:b/>
          <w:bCs/>
        </w:rPr>
        <w:tab/>
      </w:r>
      <w:r w:rsidR="008D42EF" w:rsidRPr="005D2C9D">
        <w:rPr>
          <w:rFonts w:ascii="Times New Roman" w:hAnsi="Times New Roman"/>
          <w:b/>
          <w:bCs/>
        </w:rPr>
        <w:t xml:space="preserve">GENERAL PROVISIONS FOR STANDARD CHARGE </w:t>
      </w:r>
      <w:r w:rsidR="001A2559">
        <w:rPr>
          <w:rFonts w:ascii="Times New Roman" w:hAnsi="Times New Roman"/>
          <w:b/>
          <w:bCs/>
        </w:rPr>
        <w:tab/>
      </w:r>
      <w:bookmarkStart w:id="0" w:name="_GoBack"/>
      <w:bookmarkEnd w:id="0"/>
    </w:p>
    <w:p w:rsidR="008D42EF" w:rsidRPr="005D2C9D" w:rsidRDefault="008D42EF" w:rsidP="005A0F04">
      <w:pPr>
        <w:tabs>
          <w:tab w:val="left" w:pos="-720"/>
        </w:tabs>
        <w:spacing w:line="240" w:lineRule="atLeast"/>
        <w:jc w:val="both"/>
        <w:rPr>
          <w:rFonts w:ascii="Times New Roman" w:hAnsi="Times New Roman"/>
        </w:rPr>
      </w:pPr>
    </w:p>
    <w:p w:rsidR="008D42EF" w:rsidRPr="005D2C9D" w:rsidRDefault="008D42EF" w:rsidP="005A0F04">
      <w:pPr>
        <w:tabs>
          <w:tab w:val="left" w:pos="-720"/>
        </w:tabs>
        <w:spacing w:line="240" w:lineRule="atLeast"/>
        <w:jc w:val="both"/>
        <w:rPr>
          <w:rFonts w:ascii="Times New Roman" w:hAnsi="Times New Roman"/>
        </w:rPr>
      </w:pPr>
    </w:p>
    <w:p w:rsidR="008D42EF" w:rsidRPr="005D2C9D" w:rsidRDefault="008D42EF" w:rsidP="005A0F0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pacing w:line="480" w:lineRule="auto"/>
        <w:jc w:val="both"/>
        <w:rPr>
          <w:rFonts w:ascii="Times New Roman" w:hAnsi="Times New Roman"/>
          <w:b/>
          <w:bCs/>
        </w:rPr>
      </w:pPr>
      <w:r w:rsidRPr="005D2C9D">
        <w:rPr>
          <w:rFonts w:ascii="Times New Roman" w:hAnsi="Times New Roman"/>
          <w:b/>
          <w:bCs/>
        </w:rPr>
        <w:tab/>
        <w:t>C.</w:t>
      </w:r>
      <w:r w:rsidRPr="005D2C9D">
        <w:rPr>
          <w:rFonts w:ascii="Times New Roman" w:hAnsi="Times New Roman"/>
          <w:b/>
          <w:bCs/>
        </w:rPr>
        <w:tab/>
        <w:t>Role of the Attorneys</w:t>
      </w:r>
      <w:r w:rsidR="005A0F04">
        <w:rPr>
          <w:rFonts w:ascii="Times New Roman" w:hAnsi="Times New Roman"/>
          <w:b/>
          <w:bCs/>
        </w:rPr>
        <w:t xml:space="preserve"> </w:t>
      </w:r>
      <w:r w:rsidR="005A0F04" w:rsidRPr="005D2C9D">
        <w:rPr>
          <w:rFonts w:ascii="Times New Roman" w:hAnsi="Times New Roman"/>
        </w:rPr>
        <w:t>(Approved 10/2009; Revised 06/2019)</w:t>
      </w:r>
    </w:p>
    <w:p w:rsidR="008D42EF" w:rsidRPr="005D2C9D" w:rsidRDefault="008D42EF" w:rsidP="005A0F04">
      <w:pPr>
        <w:pStyle w:val="BodyText"/>
        <w:keepNext/>
        <w:spacing w:line="480" w:lineRule="auto"/>
      </w:pPr>
      <w:r w:rsidRPr="005D2C9D">
        <w:tab/>
        <w:t>The lawyers are here as advocates for their clients.  In their opening statements and in their summations</w:t>
      </w:r>
      <w:r w:rsidR="005B6840" w:rsidRPr="005D2C9D">
        <w:t>,</w:t>
      </w:r>
      <w:r w:rsidRPr="005D2C9D">
        <w:t xml:space="preserve"> they have given you their views of the evidence and their arguments in favor of their clients</w:t>
      </w:r>
      <w:r w:rsidR="00A82294" w:rsidRPr="005D2C9D">
        <w:t>’</w:t>
      </w:r>
      <w:r w:rsidRPr="005D2C9D">
        <w:t xml:space="preserve"> position.  While you may consider their comments, nothing that the attorneys say is evidence and their comments are not binding upon you. </w:t>
      </w:r>
    </w:p>
    <w:p w:rsidR="005530CA" w:rsidRPr="005D2C9D" w:rsidRDefault="005530CA" w:rsidP="005A0F04">
      <w:pPr>
        <w:jc w:val="center"/>
        <w:rPr>
          <w:rFonts w:ascii="Times New Roman" w:hAnsi="Times New Roman"/>
          <w:color w:val="000000"/>
        </w:rPr>
      </w:pPr>
      <w:bookmarkStart w:id="1" w:name="a1_12"/>
      <w:bookmarkEnd w:id="1"/>
      <w:r w:rsidRPr="005D2C9D">
        <w:rPr>
          <w:rFonts w:ascii="Times New Roman" w:hAnsi="Times New Roman"/>
          <w:b/>
          <w:bCs/>
          <w:i/>
          <w:iCs/>
          <w:color w:val="000000"/>
        </w:rPr>
        <w:t>NOTE TO JUDGE</w:t>
      </w:r>
    </w:p>
    <w:p w:rsidR="005530CA" w:rsidRPr="005D2C9D" w:rsidRDefault="005530CA" w:rsidP="005A0F04">
      <w:pPr>
        <w:ind w:left="720" w:right="720"/>
        <w:rPr>
          <w:rFonts w:ascii="Times New Roman" w:hAnsi="Times New Roman"/>
        </w:rPr>
      </w:pPr>
    </w:p>
    <w:p w:rsidR="005530CA" w:rsidRPr="005D2C9D" w:rsidRDefault="005530CA" w:rsidP="005A0F04">
      <w:pPr>
        <w:ind w:left="720" w:right="720"/>
        <w:jc w:val="both"/>
        <w:rPr>
          <w:rFonts w:ascii="Times New Roman" w:hAnsi="Times New Roman"/>
          <w:shd w:val="clear" w:color="auto" w:fill="FFFFFF"/>
        </w:rPr>
      </w:pPr>
      <w:r w:rsidRPr="005D2C9D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Although arising in the criminal context, the Appellate Division has stated that a trial court may exercise its discretion to have summations of all counsel played back (or read back, </w:t>
      </w:r>
      <w:r w:rsidRPr="005D2C9D">
        <w:rPr>
          <w:rFonts w:ascii="Times New Roman" w:hAnsi="Times New Roman"/>
          <w:i/>
          <w:iCs/>
          <w:bdr w:val="none" w:sz="0" w:space="0" w:color="auto" w:frame="1"/>
          <w:shd w:val="clear" w:color="auto" w:fill="FFFFFF"/>
        </w:rPr>
        <w:t>if applicable</w:t>
      </w:r>
      <w:r w:rsidRPr="00A46E95">
        <w:rPr>
          <w:rFonts w:ascii="Times New Roman" w:hAnsi="Times New Roman"/>
          <w:iCs/>
          <w:bdr w:val="none" w:sz="0" w:space="0" w:color="auto" w:frame="1"/>
          <w:shd w:val="clear" w:color="auto" w:fill="FFFFFF"/>
        </w:rPr>
        <w:t>)</w:t>
      </w:r>
      <w:r w:rsidRPr="005D2C9D">
        <w:rPr>
          <w:rFonts w:ascii="Times New Roman" w:hAnsi="Times New Roman"/>
          <w:bdr w:val="none" w:sz="0" w:space="0" w:color="auto" w:frame="1"/>
          <w:shd w:val="clear" w:color="auto" w:fill="FFFFFF"/>
        </w:rPr>
        <w:t xml:space="preserve"> to the jury, in full or in part, at the jury’s request if and when presented with appropriate circumstances.  </w:t>
      </w:r>
      <w:r w:rsidRPr="00A46E95">
        <w:rPr>
          <w:rFonts w:ascii="Times New Roman" w:hAnsi="Times New Roman"/>
          <w:i/>
          <w:bdr w:val="none" w:sz="0" w:space="0" w:color="auto" w:frame="1"/>
          <w:shd w:val="clear" w:color="auto" w:fill="FFFFFF"/>
        </w:rPr>
        <w:t>See State v. Brown</w:t>
      </w:r>
      <w:r w:rsidRPr="00A46E95">
        <w:rPr>
          <w:rFonts w:ascii="Times New Roman" w:hAnsi="Times New Roman"/>
          <w:shd w:val="clear" w:color="auto" w:fill="FFFFFF"/>
        </w:rPr>
        <w:t>,</w:t>
      </w:r>
      <w:r w:rsidRPr="005D2C9D">
        <w:rPr>
          <w:rFonts w:ascii="Times New Roman" w:hAnsi="Times New Roman"/>
          <w:shd w:val="clear" w:color="auto" w:fill="FFFFFF"/>
        </w:rPr>
        <w:t xml:space="preserve"> 457 </w:t>
      </w:r>
      <w:r w:rsidRPr="005D2C9D">
        <w:rPr>
          <w:rFonts w:ascii="Times New Roman" w:hAnsi="Times New Roman"/>
          <w:i/>
          <w:shd w:val="clear" w:color="auto" w:fill="FFFFFF"/>
        </w:rPr>
        <w:t>N.J. Super</w:t>
      </w:r>
      <w:r w:rsidRPr="005D2C9D">
        <w:rPr>
          <w:rFonts w:ascii="Times New Roman" w:hAnsi="Times New Roman"/>
          <w:shd w:val="clear" w:color="auto" w:fill="FFFFFF"/>
        </w:rPr>
        <w:t>. 345</w:t>
      </w:r>
      <w:r w:rsidR="00D45FA5">
        <w:rPr>
          <w:rFonts w:ascii="Times New Roman" w:hAnsi="Times New Roman"/>
          <w:shd w:val="clear" w:color="auto" w:fill="FFFFFF"/>
        </w:rPr>
        <w:t>, 356</w:t>
      </w:r>
      <w:r w:rsidRPr="005D2C9D">
        <w:rPr>
          <w:rFonts w:ascii="Times New Roman" w:hAnsi="Times New Roman"/>
          <w:shd w:val="clear" w:color="auto" w:fill="FFFFFF"/>
        </w:rPr>
        <w:t xml:space="preserve"> (App. Div. 2018) (stating that “trial courts </w:t>
      </w:r>
      <w:r w:rsidRPr="005D2C9D">
        <w:rPr>
          <w:rFonts w:ascii="Times New Roman" w:hAnsi="Times New Roman"/>
          <w:color w:val="000000"/>
          <w:shd w:val="clear" w:color="auto" w:fill="FFFFFF"/>
          <w:lang w:val="x-none"/>
        </w:rPr>
        <w:t>in New Jersey have the discretion to grant requests from juries to play back or read back closing arguments</w:t>
      </w:r>
      <w:r w:rsidRPr="005D2C9D">
        <w:rPr>
          <w:rFonts w:ascii="Times New Roman" w:hAnsi="Times New Roman"/>
          <w:shd w:val="clear" w:color="auto" w:fill="FFFFFF"/>
        </w:rPr>
        <w:t>” pursuant to a multi-factor inquiry for appropriate circumstances, but holding that the lack of playback/</w:t>
      </w:r>
      <w:proofErr w:type="spellStart"/>
      <w:r w:rsidRPr="005D2C9D">
        <w:rPr>
          <w:rFonts w:ascii="Times New Roman" w:hAnsi="Times New Roman"/>
          <w:shd w:val="clear" w:color="auto" w:fill="FFFFFF"/>
        </w:rPr>
        <w:t>readback</w:t>
      </w:r>
      <w:proofErr w:type="spellEnd"/>
      <w:r w:rsidRPr="005D2C9D">
        <w:rPr>
          <w:rFonts w:ascii="Times New Roman" w:hAnsi="Times New Roman"/>
          <w:shd w:val="clear" w:color="auto" w:fill="FFFFFF"/>
        </w:rPr>
        <w:t xml:space="preserve"> in the case </w:t>
      </w:r>
      <w:r w:rsidRPr="005D2C9D">
        <w:rPr>
          <w:rFonts w:ascii="Times New Roman" w:hAnsi="Times New Roman"/>
          <w:i/>
          <w:iCs/>
          <w:shd w:val="clear" w:color="auto" w:fill="FFFFFF"/>
        </w:rPr>
        <w:t xml:space="preserve">sub </w:t>
      </w:r>
      <w:proofErr w:type="spellStart"/>
      <w:r w:rsidRPr="005D2C9D">
        <w:rPr>
          <w:rFonts w:ascii="Times New Roman" w:hAnsi="Times New Roman"/>
          <w:i/>
          <w:iCs/>
          <w:shd w:val="clear" w:color="auto" w:fill="FFFFFF"/>
        </w:rPr>
        <w:t>judice</w:t>
      </w:r>
      <w:proofErr w:type="spellEnd"/>
      <w:r w:rsidRPr="005D2C9D">
        <w:rPr>
          <w:rFonts w:ascii="Times New Roman" w:hAnsi="Times New Roman"/>
          <w:shd w:val="clear" w:color="auto" w:fill="FFFFFF"/>
        </w:rPr>
        <w:t xml:space="preserve"> did </w:t>
      </w:r>
      <w:r w:rsidR="00FF3ACA">
        <w:rPr>
          <w:rFonts w:ascii="Times New Roman" w:hAnsi="Times New Roman"/>
          <w:shd w:val="clear" w:color="auto" w:fill="FFFFFF"/>
        </w:rPr>
        <w:t>not require a new trial. “</w:t>
      </w:r>
      <w:r w:rsidRPr="005D2C9D">
        <w:rPr>
          <w:rFonts w:ascii="Times New Roman" w:hAnsi="Times New Roman"/>
          <w:shd w:val="clear" w:color="auto" w:fill="FFFFFF"/>
          <w:lang w:val="x-none"/>
        </w:rPr>
        <w:t xml:space="preserve">In exercising that discretion, courts may consider such factors as: (1) whether counsel made improper or inflammatory remarks in summation; (2) whether counsel materially misstated the evidence; (3) whether multiple objections to the closing arguments had been interjected, and whether they were sustained or overruled; (4) the length </w:t>
      </w:r>
      <w:r w:rsidRPr="005D2C9D">
        <w:rPr>
          <w:rFonts w:ascii="Times New Roman" w:hAnsi="Times New Roman"/>
          <w:shd w:val="clear" w:color="auto" w:fill="FFFFFF"/>
        </w:rPr>
        <w:t xml:space="preserve">and </w:t>
      </w:r>
      <w:r w:rsidRPr="005D2C9D">
        <w:rPr>
          <w:rFonts w:ascii="Times New Roman" w:hAnsi="Times New Roman"/>
          <w:shd w:val="clear" w:color="auto" w:fill="FFFFFF"/>
          <w:lang w:val="x-none"/>
        </w:rPr>
        <w:t>complexity of the trial; (5) whether deliberations had been lengthy or significantly interrupted; and (6) other practical and equitable considerations</w:t>
      </w:r>
      <w:r w:rsidRPr="005D2C9D">
        <w:rPr>
          <w:rFonts w:ascii="Times New Roman" w:hAnsi="Times New Roman"/>
          <w:shd w:val="clear" w:color="auto" w:fill="FFFFFF"/>
        </w:rPr>
        <w:t>.”</w:t>
      </w:r>
      <w:r w:rsidR="00FF3ACA">
        <w:rPr>
          <w:rFonts w:ascii="Times New Roman" w:hAnsi="Times New Roman"/>
          <w:shd w:val="clear" w:color="auto" w:fill="FFFFFF"/>
        </w:rPr>
        <w:t>)</w:t>
      </w:r>
    </w:p>
    <w:p w:rsidR="008D42EF" w:rsidRPr="005D2C9D" w:rsidRDefault="008D42EF" w:rsidP="005A0F04">
      <w:pPr>
        <w:tabs>
          <w:tab w:val="left" w:pos="-720"/>
        </w:tabs>
        <w:spacing w:line="480" w:lineRule="auto"/>
        <w:ind w:left="720" w:hanging="720"/>
        <w:jc w:val="both"/>
        <w:rPr>
          <w:rFonts w:ascii="Times New Roman" w:hAnsi="Times New Roman"/>
        </w:rPr>
      </w:pPr>
    </w:p>
    <w:sectPr w:rsidR="008D42EF" w:rsidRPr="005D2C9D" w:rsidSect="005D2C9D">
      <w:headerReference w:type="default" r:id="rId7"/>
      <w:endnotePr>
        <w:numFmt w:val="decimal"/>
      </w:endnotePr>
      <w:type w:val="continuous"/>
      <w:pgSz w:w="12240" w:h="15840" w:code="1"/>
      <w:pgMar w:top="1008" w:right="1440" w:bottom="1440" w:left="1440" w:header="1008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5A" w:rsidRDefault="00113D5A">
      <w:pPr>
        <w:widowControl/>
        <w:spacing w:line="20" w:lineRule="exact"/>
        <w:rPr>
          <w:sz w:val="20"/>
          <w:szCs w:val="24"/>
        </w:rPr>
      </w:pPr>
    </w:p>
  </w:endnote>
  <w:endnote w:type="continuationSeparator" w:id="0">
    <w:p w:rsidR="00113D5A" w:rsidRDefault="00113D5A">
      <w:r>
        <w:rPr>
          <w:sz w:val="20"/>
          <w:szCs w:val="24"/>
        </w:rPr>
        <w:t xml:space="preserve"> </w:t>
      </w:r>
    </w:p>
  </w:endnote>
  <w:endnote w:type="continuationNotice" w:id="1">
    <w:p w:rsidR="00113D5A" w:rsidRDefault="00113D5A">
      <w:r>
        <w:rPr>
          <w:sz w:val="20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emp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5A" w:rsidRDefault="00113D5A">
      <w:r>
        <w:rPr>
          <w:sz w:val="20"/>
          <w:szCs w:val="24"/>
        </w:rPr>
        <w:separator/>
      </w:r>
    </w:p>
  </w:footnote>
  <w:footnote w:type="continuationSeparator" w:id="0">
    <w:p w:rsidR="00113D5A" w:rsidRDefault="00113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DB" w:rsidRPr="005D2C9D" w:rsidRDefault="00256EDB">
    <w:pPr>
      <w:tabs>
        <w:tab w:val="right" w:pos="9360"/>
      </w:tabs>
      <w:spacing w:line="240" w:lineRule="atLeast"/>
      <w:jc w:val="both"/>
      <w:rPr>
        <w:rFonts w:ascii="Times New Roman" w:hAnsi="Times New Roman"/>
        <w:b/>
        <w:bCs/>
        <w:spacing w:val="-3"/>
      </w:rPr>
    </w:pPr>
    <w:r w:rsidRPr="005D2C9D">
      <w:rPr>
        <w:rFonts w:ascii="Times New Roman" w:hAnsi="Times New Roman"/>
        <w:spacing w:val="-3"/>
      </w:rPr>
      <w:tab/>
    </w:r>
    <w:r w:rsidRPr="005D2C9D">
      <w:rPr>
        <w:rFonts w:ascii="Times New Roman" w:hAnsi="Times New Roman"/>
        <w:b/>
        <w:bCs/>
        <w:spacing w:val="-3"/>
      </w:rPr>
      <w:t xml:space="preserve">CHARGE 1.12C — Page </w:t>
    </w:r>
    <w:r w:rsidRPr="005D2C9D">
      <w:rPr>
        <w:rStyle w:val="PageNumber"/>
        <w:rFonts w:ascii="Times New Roman" w:hAnsi="Times New Roman"/>
        <w:b/>
        <w:bCs/>
      </w:rPr>
      <w:fldChar w:fldCharType="begin"/>
    </w:r>
    <w:r w:rsidRPr="005D2C9D">
      <w:rPr>
        <w:rStyle w:val="PageNumber"/>
        <w:rFonts w:ascii="Times New Roman" w:hAnsi="Times New Roman"/>
        <w:b/>
        <w:bCs/>
      </w:rPr>
      <w:instrText xml:space="preserve"> PAGE </w:instrText>
    </w:r>
    <w:r w:rsidRPr="005D2C9D">
      <w:rPr>
        <w:rStyle w:val="PageNumber"/>
        <w:rFonts w:ascii="Times New Roman" w:hAnsi="Times New Roman"/>
        <w:b/>
        <w:bCs/>
      </w:rPr>
      <w:fldChar w:fldCharType="separate"/>
    </w:r>
    <w:r w:rsidR="001A2559">
      <w:rPr>
        <w:rStyle w:val="PageNumber"/>
        <w:rFonts w:ascii="Times New Roman" w:hAnsi="Times New Roman"/>
        <w:b/>
        <w:bCs/>
        <w:noProof/>
      </w:rPr>
      <w:t>1</w:t>
    </w:r>
    <w:r w:rsidRPr="005D2C9D">
      <w:rPr>
        <w:rStyle w:val="PageNumber"/>
        <w:rFonts w:ascii="Times New Roman" w:hAnsi="Times New Roman"/>
        <w:b/>
        <w:bCs/>
      </w:rPr>
      <w:fldChar w:fldCharType="end"/>
    </w:r>
    <w:r w:rsidRPr="005D2C9D">
      <w:rPr>
        <w:rStyle w:val="PageNumber"/>
        <w:rFonts w:ascii="Times New Roman" w:hAnsi="Times New Roman"/>
        <w:b/>
        <w:bCs/>
      </w:rPr>
      <w:t xml:space="preserve"> of </w:t>
    </w:r>
    <w:r w:rsidRPr="005D2C9D">
      <w:rPr>
        <w:rStyle w:val="PageNumber"/>
        <w:rFonts w:ascii="Times New Roman" w:hAnsi="Times New Roman"/>
        <w:b/>
        <w:bCs/>
      </w:rPr>
      <w:fldChar w:fldCharType="begin"/>
    </w:r>
    <w:r w:rsidRPr="005D2C9D">
      <w:rPr>
        <w:rStyle w:val="PageNumber"/>
        <w:rFonts w:ascii="Times New Roman" w:hAnsi="Times New Roman"/>
        <w:b/>
        <w:bCs/>
      </w:rPr>
      <w:instrText xml:space="preserve"> NUMPAGES </w:instrText>
    </w:r>
    <w:r w:rsidRPr="005D2C9D">
      <w:rPr>
        <w:rStyle w:val="PageNumber"/>
        <w:rFonts w:ascii="Times New Roman" w:hAnsi="Times New Roman"/>
        <w:b/>
        <w:bCs/>
      </w:rPr>
      <w:fldChar w:fldCharType="separate"/>
    </w:r>
    <w:r w:rsidR="001A2559">
      <w:rPr>
        <w:rStyle w:val="PageNumber"/>
        <w:rFonts w:ascii="Times New Roman" w:hAnsi="Times New Roman"/>
        <w:b/>
        <w:bCs/>
        <w:noProof/>
      </w:rPr>
      <w:t>1</w:t>
    </w:r>
    <w:r w:rsidRPr="005D2C9D">
      <w:rPr>
        <w:rStyle w:val="PageNumber"/>
        <w:rFonts w:ascii="Times New Roman" w:hAnsi="Times New Roman"/>
        <w:b/>
        <w:bCs/>
      </w:rPr>
      <w:fldChar w:fldCharType="end"/>
    </w:r>
  </w:p>
  <w:p w:rsidR="00256EDB" w:rsidRPr="005D2C9D" w:rsidRDefault="00256EDB">
    <w:pPr>
      <w:tabs>
        <w:tab w:val="left" w:pos="-720"/>
      </w:tabs>
      <w:spacing w:line="240" w:lineRule="atLeast"/>
      <w:jc w:val="both"/>
      <w:rPr>
        <w:rFonts w:ascii="Times New Roman" w:hAnsi="Times New Roman"/>
        <w:spacing w:val="-3"/>
      </w:rPr>
    </w:pPr>
  </w:p>
  <w:p w:rsidR="00256EDB" w:rsidRPr="005D2C9D" w:rsidRDefault="00256EDB">
    <w:pPr>
      <w:tabs>
        <w:tab w:val="left" w:pos="-720"/>
      </w:tabs>
      <w:spacing w:line="240" w:lineRule="atLeast"/>
      <w:jc w:val="both"/>
      <w:rPr>
        <w:rFonts w:ascii="Times New Roman" w:hAnsi="Times New Roman"/>
        <w:spacing w:val="-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4F26"/>
    <w:multiLevelType w:val="hybridMultilevel"/>
    <w:tmpl w:val="0502798A"/>
    <w:lvl w:ilvl="0" w:tplc="6592087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ECB0B81"/>
    <w:multiLevelType w:val="hybridMultilevel"/>
    <w:tmpl w:val="942CE4D4"/>
    <w:lvl w:ilvl="0" w:tplc="842E6CA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89"/>
    <w:rsid w:val="00085619"/>
    <w:rsid w:val="000B5E5D"/>
    <w:rsid w:val="000C6600"/>
    <w:rsid w:val="000D3A89"/>
    <w:rsid w:val="00113D5A"/>
    <w:rsid w:val="001A2559"/>
    <w:rsid w:val="001B626B"/>
    <w:rsid w:val="001F0B2B"/>
    <w:rsid w:val="0023019C"/>
    <w:rsid w:val="00256EDB"/>
    <w:rsid w:val="00350E53"/>
    <w:rsid w:val="00474B25"/>
    <w:rsid w:val="004B71D9"/>
    <w:rsid w:val="004E00F4"/>
    <w:rsid w:val="00505009"/>
    <w:rsid w:val="005530CA"/>
    <w:rsid w:val="00553209"/>
    <w:rsid w:val="005A0F04"/>
    <w:rsid w:val="005B6840"/>
    <w:rsid w:val="005D2C9D"/>
    <w:rsid w:val="00606156"/>
    <w:rsid w:val="006C20BB"/>
    <w:rsid w:val="006E7A6A"/>
    <w:rsid w:val="006F51C1"/>
    <w:rsid w:val="00774068"/>
    <w:rsid w:val="008133CA"/>
    <w:rsid w:val="008C5160"/>
    <w:rsid w:val="008D42EF"/>
    <w:rsid w:val="008F1B08"/>
    <w:rsid w:val="00917BA7"/>
    <w:rsid w:val="009574FF"/>
    <w:rsid w:val="0098454E"/>
    <w:rsid w:val="009E65A1"/>
    <w:rsid w:val="00A021CE"/>
    <w:rsid w:val="00A17600"/>
    <w:rsid w:val="00A46E95"/>
    <w:rsid w:val="00A82294"/>
    <w:rsid w:val="00AC446B"/>
    <w:rsid w:val="00AE6AE5"/>
    <w:rsid w:val="00B6136E"/>
    <w:rsid w:val="00BA4B7C"/>
    <w:rsid w:val="00BB7A92"/>
    <w:rsid w:val="00BD3C4C"/>
    <w:rsid w:val="00BE682C"/>
    <w:rsid w:val="00C77CBB"/>
    <w:rsid w:val="00CA4AFD"/>
    <w:rsid w:val="00CE7F0F"/>
    <w:rsid w:val="00D45FA5"/>
    <w:rsid w:val="00D72289"/>
    <w:rsid w:val="00E212AC"/>
    <w:rsid w:val="00EF4255"/>
    <w:rsid w:val="00F61F97"/>
    <w:rsid w:val="00F92281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D2E1CA"/>
  <w15:chartTrackingRefBased/>
  <w15:docId w15:val="{6576E8F3-86FB-4A88-ABCA-6B0C079D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empo" w:hAnsi="Tiempo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0"/>
      </w:tabs>
      <w:spacing w:line="480" w:lineRule="auto"/>
      <w:ind w:left="720" w:hanging="720"/>
      <w:jc w:val="both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  <w:szCs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basedOn w:val="DefaultParagraphFont"/>
    <w:rPr>
      <w:b/>
      <w:bCs/>
      <w:i/>
      <w:iCs/>
      <w:sz w:val="28"/>
      <w:szCs w:val="28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basedOn w:val="DefaultParagraphFont"/>
    <w:rPr>
      <w:rFonts w:ascii="Tiempo" w:hAnsi="Tiempo"/>
      <w:sz w:val="28"/>
      <w:szCs w:val="28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basedOn w:val="DefaultParagraphFont"/>
    <w:rPr>
      <w:rFonts w:ascii="Tiempo" w:hAnsi="Tiempo"/>
      <w:sz w:val="28"/>
      <w:szCs w:val="28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Tiempo" w:hAnsi="Tiempo"/>
      <w:sz w:val="28"/>
      <w:szCs w:val="28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basedOn w:val="DefaultParagraphFont"/>
    <w:rPr>
      <w:rFonts w:ascii="Tiempo" w:hAnsi="Tiempo"/>
      <w:sz w:val="28"/>
      <w:szCs w:val="28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basedOn w:val="DefaultParagraphFont"/>
    <w:rPr>
      <w:rFonts w:ascii="Tiempo" w:hAnsi="Tiempo"/>
      <w:sz w:val="28"/>
      <w:szCs w:val="28"/>
      <w:lang w:val="en-US"/>
    </w:rPr>
  </w:style>
  <w:style w:type="character" w:customStyle="1" w:styleId="Technical3">
    <w:name w:val="Technical 3"/>
    <w:basedOn w:val="DefaultParagraphFont"/>
    <w:rPr>
      <w:rFonts w:ascii="Tiempo" w:hAnsi="Tiempo"/>
      <w:sz w:val="28"/>
      <w:szCs w:val="28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basedOn w:val="DefaultParagraphFont"/>
    <w:rPr>
      <w:rFonts w:ascii="Tiempo" w:hAnsi="Tiempo"/>
      <w:sz w:val="28"/>
      <w:szCs w:val="28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sz w:val="20"/>
      <w:szCs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</w:tabs>
      <w:spacing w:line="480" w:lineRule="atLeast"/>
      <w:jc w:val="both"/>
    </w:pPr>
    <w:rPr>
      <w:rFonts w:ascii="Times New Roman" w:hAnsi="Times New Roman"/>
      <w:spacing w:val="-3"/>
    </w:rPr>
  </w:style>
  <w:style w:type="paragraph" w:styleId="BlockText">
    <w:name w:val="Block Text"/>
    <w:basedOn w:val="Normal"/>
    <w:pPr>
      <w:keepLines/>
      <w:tabs>
        <w:tab w:val="left" w:pos="-720"/>
        <w:tab w:val="left" w:pos="0"/>
        <w:tab w:val="left" w:pos="720"/>
      </w:tabs>
      <w:spacing w:after="240"/>
      <w:ind w:left="1440" w:right="1440" w:hanging="1440"/>
      <w:jc w:val="both"/>
    </w:pPr>
    <w:rPr>
      <w:rFonts w:ascii="Times New Roman" w:hAnsi="Times New Roman"/>
      <w:i/>
      <w:iCs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0D3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8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NJ Judiciary/AOC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PC307705</dc:creator>
  <cp:keywords/>
  <dc:description/>
  <cp:lastModifiedBy>Diane Lanza</cp:lastModifiedBy>
  <cp:revision>5</cp:revision>
  <cp:lastPrinted>2009-11-10T20:41:00Z</cp:lastPrinted>
  <dcterms:created xsi:type="dcterms:W3CDTF">2019-06-25T18:17:00Z</dcterms:created>
  <dcterms:modified xsi:type="dcterms:W3CDTF">2019-06-25T18:55:00Z</dcterms:modified>
</cp:coreProperties>
</file>