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27" w:rsidRPr="00FB1BF7" w:rsidRDefault="00AE259B">
      <w:pPr>
        <w:rPr>
          <w:rFonts w:ascii="Times New Roman" w:hAnsi="Times New Roman" w:cs="Times New Roman"/>
          <w:sz w:val="28"/>
          <w:szCs w:val="28"/>
        </w:rPr>
      </w:pPr>
      <w:r w:rsidRPr="00FB1BF7">
        <w:rPr>
          <w:rFonts w:ascii="Times New Roman" w:hAnsi="Times New Roman" w:cs="Times New Roman"/>
          <w:b/>
          <w:sz w:val="28"/>
          <w:szCs w:val="28"/>
        </w:rPr>
        <w:t>1.13</w:t>
      </w:r>
      <w:r w:rsidR="00A055B7" w:rsidRPr="00FB1BF7">
        <w:rPr>
          <w:rFonts w:ascii="Times New Roman" w:hAnsi="Times New Roman" w:cs="Times New Roman"/>
          <w:b/>
          <w:sz w:val="28"/>
          <w:szCs w:val="28"/>
        </w:rPr>
        <w:tab/>
      </w:r>
      <w:r w:rsidR="00A055B7" w:rsidRPr="00FB1BF7">
        <w:rPr>
          <w:rFonts w:ascii="Times New Roman" w:hAnsi="Times New Roman" w:cs="Times New Roman"/>
          <w:b/>
          <w:sz w:val="28"/>
          <w:szCs w:val="28"/>
        </w:rPr>
        <w:tab/>
        <w:t>EXPERT TESTIMONY</w:t>
      </w:r>
      <w:r w:rsidR="00A055B7" w:rsidRPr="00FB1BF7">
        <w:rPr>
          <w:rStyle w:val="FootnoteReference"/>
          <w:rFonts w:ascii="Times New Roman" w:hAnsi="Times New Roman" w:cs="Times New Roman"/>
          <w:b/>
          <w:sz w:val="28"/>
          <w:szCs w:val="28"/>
        </w:rPr>
        <w:footnoteReference w:id="1"/>
      </w:r>
      <w:r w:rsidR="00A055B7" w:rsidRPr="00FB1BF7">
        <w:rPr>
          <w:rFonts w:ascii="Times New Roman" w:hAnsi="Times New Roman" w:cs="Times New Roman"/>
          <w:b/>
          <w:sz w:val="28"/>
          <w:szCs w:val="28"/>
        </w:rPr>
        <w:t xml:space="preserve"> </w:t>
      </w:r>
      <w:r w:rsidR="00125A6C">
        <w:rPr>
          <w:rFonts w:ascii="Times New Roman" w:hAnsi="Times New Roman" w:cs="Times New Roman"/>
          <w:b/>
          <w:sz w:val="28"/>
          <w:szCs w:val="28"/>
        </w:rPr>
        <w:t>(Approved 12/2009; Revised 10/2015)</w:t>
      </w:r>
    </w:p>
    <w:p w:rsidR="00904A16" w:rsidRDefault="00A055B7" w:rsidP="00904A16">
      <w:pPr>
        <w:ind w:left="1440" w:hanging="720"/>
        <w:rPr>
          <w:rFonts w:ascii="Times New Roman" w:hAnsi="Times New Roman" w:cs="Times New Roman"/>
          <w:b/>
          <w:sz w:val="28"/>
          <w:szCs w:val="28"/>
        </w:rPr>
      </w:pPr>
      <w:r w:rsidRPr="00FB1BF7">
        <w:rPr>
          <w:rFonts w:ascii="Times New Roman" w:hAnsi="Times New Roman" w:cs="Times New Roman"/>
          <w:b/>
          <w:sz w:val="28"/>
          <w:szCs w:val="28"/>
        </w:rPr>
        <w:t>E.</w:t>
      </w:r>
      <w:r w:rsidRPr="00FB1BF7">
        <w:rPr>
          <w:rFonts w:ascii="Times New Roman" w:hAnsi="Times New Roman" w:cs="Times New Roman"/>
          <w:b/>
          <w:sz w:val="28"/>
          <w:szCs w:val="28"/>
        </w:rPr>
        <w:tab/>
        <w:t xml:space="preserve">Optional Charge Concerning Experts Relying on Hearsay </w:t>
      </w:r>
      <w:r w:rsidRPr="00FB1BF7">
        <w:rPr>
          <w:rFonts w:ascii="Times New Roman" w:hAnsi="Times New Roman" w:cs="Times New Roman"/>
          <w:b/>
          <w:sz w:val="28"/>
          <w:szCs w:val="28"/>
        </w:rPr>
        <w:br/>
        <w:t>Statements of Non-Testifying Experts.</w:t>
      </w:r>
      <w:r w:rsidRPr="00FB1BF7">
        <w:rPr>
          <w:rStyle w:val="FootnoteReference"/>
          <w:rFonts w:ascii="Times New Roman" w:hAnsi="Times New Roman" w:cs="Times New Roman"/>
          <w:b/>
          <w:sz w:val="28"/>
          <w:szCs w:val="28"/>
        </w:rPr>
        <w:footnoteReference w:id="2"/>
      </w:r>
    </w:p>
    <w:p w:rsidR="00904A16" w:rsidRPr="00904A16" w:rsidRDefault="00904A16" w:rsidP="00904A16">
      <w:pPr>
        <w:ind w:left="1440" w:hanging="720"/>
        <w:jc w:val="center"/>
        <w:rPr>
          <w:rFonts w:ascii="Times New Roman" w:hAnsi="Times New Roman" w:cs="Times New Roman"/>
          <w:b/>
          <w:i/>
          <w:sz w:val="28"/>
          <w:szCs w:val="28"/>
        </w:rPr>
      </w:pPr>
      <w:r w:rsidRPr="00904A16">
        <w:rPr>
          <w:rFonts w:ascii="Times New Roman" w:hAnsi="Times New Roman" w:cs="Times New Roman"/>
          <w:b/>
          <w:i/>
          <w:sz w:val="28"/>
          <w:szCs w:val="28"/>
        </w:rPr>
        <w:t>NOTE TO JUDGE</w:t>
      </w:r>
    </w:p>
    <w:p w:rsidR="00904A16" w:rsidRPr="00904A16" w:rsidRDefault="00904A16" w:rsidP="00904A16">
      <w:pPr>
        <w:ind w:left="720" w:right="720"/>
        <w:jc w:val="both"/>
        <w:rPr>
          <w:rFonts w:ascii="Times New Roman" w:hAnsi="Times New Roman" w:cs="Times New Roman"/>
          <w:sz w:val="28"/>
          <w:szCs w:val="28"/>
        </w:rPr>
      </w:pPr>
      <w:r w:rsidRPr="00904A16">
        <w:rPr>
          <w:rFonts w:ascii="Times New Roman" w:hAnsi="Times New Roman" w:cs="Times New Roman"/>
          <w:sz w:val="28"/>
          <w:szCs w:val="28"/>
          <w:u w:val="single"/>
        </w:rPr>
        <w:t>See</w:t>
      </w:r>
      <w:r w:rsidRPr="00904A16">
        <w:rPr>
          <w:rFonts w:ascii="Times New Roman" w:hAnsi="Times New Roman" w:cs="Times New Roman"/>
          <w:sz w:val="28"/>
          <w:szCs w:val="28"/>
        </w:rPr>
        <w:t xml:space="preserve"> </w:t>
      </w:r>
      <w:r w:rsidRPr="00904A16">
        <w:rPr>
          <w:rFonts w:ascii="Times New Roman" w:hAnsi="Times New Roman" w:cs="Times New Roman"/>
          <w:sz w:val="28"/>
          <w:szCs w:val="28"/>
          <w:u w:val="single"/>
        </w:rPr>
        <w:t>James v. Ruiz</w:t>
      </w:r>
      <w:r w:rsidRPr="00904A16">
        <w:rPr>
          <w:rFonts w:ascii="Times New Roman" w:hAnsi="Times New Roman" w:cs="Times New Roman"/>
          <w:sz w:val="28"/>
          <w:szCs w:val="28"/>
        </w:rPr>
        <w:t xml:space="preserve">, 440 N.J. Super. 45, 75 (App. Div. 2015), for a discussion on the admissibility of the opinions of non-testifying treating physicians that may be contained in the plaintiff's medical records.  The Appellate Division in </w:t>
      </w:r>
      <w:r w:rsidRPr="00904A16">
        <w:rPr>
          <w:rFonts w:ascii="Times New Roman" w:hAnsi="Times New Roman" w:cs="Times New Roman"/>
          <w:sz w:val="28"/>
          <w:szCs w:val="28"/>
          <w:u w:val="single"/>
        </w:rPr>
        <w:t>James</w:t>
      </w:r>
      <w:r w:rsidRPr="00904A16">
        <w:rPr>
          <w:rFonts w:ascii="Times New Roman" w:hAnsi="Times New Roman" w:cs="Times New Roman"/>
          <w:sz w:val="28"/>
          <w:szCs w:val="28"/>
        </w:rPr>
        <w:t xml:space="preserve"> stated regarding the use of the opinions of non-testifying treating physicians' </w:t>
      </w:r>
      <w:r w:rsidR="003A091E">
        <w:rPr>
          <w:rFonts w:ascii="Times New Roman" w:hAnsi="Times New Roman" w:cs="Times New Roman"/>
          <w:sz w:val="28"/>
          <w:szCs w:val="28"/>
        </w:rPr>
        <w:t>report</w:t>
      </w:r>
      <w:r w:rsidR="00182900">
        <w:rPr>
          <w:rFonts w:ascii="Times New Roman" w:hAnsi="Times New Roman" w:cs="Times New Roman"/>
          <w:sz w:val="28"/>
          <w:szCs w:val="28"/>
        </w:rPr>
        <w:t>s</w:t>
      </w:r>
      <w:bookmarkStart w:id="0" w:name="_GoBack"/>
      <w:bookmarkEnd w:id="0"/>
      <w:r w:rsidR="003A091E">
        <w:rPr>
          <w:rFonts w:ascii="Times New Roman" w:hAnsi="Times New Roman" w:cs="Times New Roman"/>
          <w:sz w:val="28"/>
          <w:szCs w:val="28"/>
        </w:rPr>
        <w:t xml:space="preserve"> in </w:t>
      </w:r>
      <w:r w:rsidRPr="00904A16">
        <w:rPr>
          <w:rFonts w:ascii="Times New Roman" w:hAnsi="Times New Roman" w:cs="Times New Roman"/>
          <w:sz w:val="28"/>
          <w:szCs w:val="28"/>
        </w:rPr>
        <w:t>cross examination as follows:</w:t>
      </w:r>
    </w:p>
    <w:p w:rsidR="00904A16" w:rsidRPr="00904A16" w:rsidRDefault="00904A16" w:rsidP="00904A16">
      <w:pPr>
        <w:spacing w:after="240"/>
        <w:ind w:left="1440" w:right="1440"/>
        <w:jc w:val="both"/>
        <w:rPr>
          <w:rFonts w:ascii="Times New Roman" w:hAnsi="Times New Roman" w:cs="Times New Roman"/>
          <w:sz w:val="28"/>
          <w:szCs w:val="28"/>
        </w:rPr>
      </w:pPr>
      <w:r w:rsidRPr="00904A16">
        <w:rPr>
          <w:rFonts w:ascii="Times New Roman" w:hAnsi="Times New Roman" w:cs="Times New Roman"/>
          <w:sz w:val="28"/>
          <w:szCs w:val="28"/>
        </w:rPr>
        <w:t>In particular, if the sole limited purpose of this portion of the cross was to show that the defense expert’s review of the patient’s records was skewed or incomplete, such a line of inquiry arguably would amount to simply impeachment of the defense expert’s credibility, an attack that does not hinge upon the actual truth of the absent declarant’s statements. Such impeachment to expose the weaknesses of an expert’s testimony potentially might assist in the search for the truth, one of the recognized goals of our law of evidence.</w:t>
      </w:r>
    </w:p>
    <w:p w:rsidR="00904A16" w:rsidRPr="00904A16" w:rsidRDefault="00904A16" w:rsidP="00904A16">
      <w:pPr>
        <w:ind w:left="720" w:right="720"/>
        <w:jc w:val="both"/>
        <w:rPr>
          <w:rFonts w:ascii="Times New Roman" w:hAnsi="Times New Roman" w:cs="Times New Roman"/>
          <w:sz w:val="28"/>
          <w:szCs w:val="28"/>
        </w:rPr>
      </w:pPr>
      <w:r w:rsidRPr="00904A16">
        <w:rPr>
          <w:rFonts w:ascii="Times New Roman" w:hAnsi="Times New Roman" w:cs="Times New Roman"/>
          <w:sz w:val="28"/>
          <w:szCs w:val="28"/>
        </w:rPr>
        <w:t>Finally, MCJC 1.13E may need to be tailored or may not be appropriate in the situation where the opinions of non-testifying treating physicians are either not complex medical diagnoses or are not disputed by the parties.</w:t>
      </w:r>
    </w:p>
    <w:p w:rsidR="00904A16" w:rsidRPr="00FB1BF7" w:rsidRDefault="00904A16" w:rsidP="00904A16">
      <w:pPr>
        <w:rPr>
          <w:rFonts w:ascii="Times New Roman" w:hAnsi="Times New Roman" w:cs="Times New Roman"/>
          <w:b/>
          <w:sz w:val="28"/>
          <w:szCs w:val="28"/>
        </w:rPr>
      </w:pPr>
    </w:p>
    <w:p w:rsidR="00FB1BF7" w:rsidRPr="00FB1BF7" w:rsidRDefault="00FB1BF7" w:rsidP="00A055B7">
      <w:pPr>
        <w:ind w:left="1440" w:hanging="720"/>
        <w:rPr>
          <w:rFonts w:ascii="Times New Roman" w:hAnsi="Times New Roman" w:cs="Times New Roman"/>
          <w:b/>
          <w:sz w:val="28"/>
          <w:szCs w:val="28"/>
        </w:rPr>
      </w:pPr>
    </w:p>
    <w:p w:rsidR="00A055B7" w:rsidRPr="00FB1BF7" w:rsidRDefault="00A055B7" w:rsidP="00FB1BF7">
      <w:pPr>
        <w:spacing w:after="0" w:line="480" w:lineRule="auto"/>
        <w:ind w:firstLine="720"/>
        <w:contextualSpacing/>
        <w:jc w:val="both"/>
        <w:rPr>
          <w:rFonts w:ascii="Times New Roman" w:hAnsi="Times New Roman" w:cs="Times New Roman"/>
          <w:sz w:val="28"/>
          <w:szCs w:val="28"/>
        </w:rPr>
      </w:pPr>
      <w:r w:rsidRPr="00FB1BF7">
        <w:rPr>
          <w:rFonts w:ascii="Times New Roman" w:hAnsi="Times New Roman" w:cs="Times New Roman"/>
          <w:sz w:val="28"/>
          <w:szCs w:val="28"/>
        </w:rPr>
        <w:lastRenderedPageBreak/>
        <w:t xml:space="preserve">In this case, you have heard that other non-testifying experts have </w:t>
      </w:r>
      <w:r w:rsidRPr="00FB1BF7">
        <w:rPr>
          <w:rFonts w:ascii="Times New Roman" w:hAnsi="Times New Roman" w:cs="Times New Roman"/>
          <w:i/>
          <w:sz w:val="28"/>
          <w:szCs w:val="28"/>
        </w:rPr>
        <w:t xml:space="preserve">examined the plaintiff/ treated the plaintiff/ performed tests on the plaintiff/ </w:t>
      </w:r>
      <w:r w:rsidRPr="00FB1BF7">
        <w:rPr>
          <w:rFonts w:ascii="Times New Roman" w:hAnsi="Times New Roman" w:cs="Times New Roman"/>
          <w:sz w:val="28"/>
          <w:szCs w:val="28"/>
        </w:rPr>
        <w:t>and have rendered reports expressing opinions as to their findings.</w:t>
      </w:r>
    </w:p>
    <w:p w:rsidR="00A055B7" w:rsidRPr="00FB1BF7" w:rsidRDefault="00A055B7" w:rsidP="00FB1BF7">
      <w:pPr>
        <w:spacing w:after="0" w:line="480" w:lineRule="auto"/>
        <w:ind w:firstLine="720"/>
        <w:contextualSpacing/>
        <w:jc w:val="both"/>
        <w:rPr>
          <w:rFonts w:ascii="Times New Roman" w:hAnsi="Times New Roman" w:cs="Times New Roman"/>
          <w:sz w:val="28"/>
          <w:szCs w:val="28"/>
        </w:rPr>
      </w:pPr>
      <w:r w:rsidRPr="00FB1BF7">
        <w:rPr>
          <w:rFonts w:ascii="Times New Roman" w:hAnsi="Times New Roman" w:cs="Times New Roman"/>
          <w:sz w:val="28"/>
          <w:szCs w:val="28"/>
        </w:rPr>
        <w:t xml:space="preserve">Testifying experts may rely upon such </w:t>
      </w:r>
      <w:r w:rsidR="00582CF3">
        <w:rPr>
          <w:rFonts w:ascii="Times New Roman" w:hAnsi="Times New Roman" w:cs="Times New Roman"/>
          <w:sz w:val="28"/>
          <w:szCs w:val="28"/>
        </w:rPr>
        <w:t xml:space="preserve">out </w:t>
      </w:r>
      <w:r w:rsidRPr="00FB1BF7">
        <w:rPr>
          <w:rFonts w:ascii="Times New Roman" w:hAnsi="Times New Roman" w:cs="Times New Roman"/>
          <w:sz w:val="28"/>
          <w:szCs w:val="28"/>
        </w:rPr>
        <w:t>of court statements contained in such reports in formulating their opinions if they are of the type reasonably relied upon by experts, within that particular field in forming opinions or inferences upon the subject.</w:t>
      </w:r>
    </w:p>
    <w:p w:rsidR="00A055B7" w:rsidRPr="00FB1BF7" w:rsidRDefault="00A055B7" w:rsidP="00FB1BF7">
      <w:pPr>
        <w:spacing w:after="0" w:line="480" w:lineRule="auto"/>
        <w:ind w:firstLine="720"/>
        <w:contextualSpacing/>
        <w:jc w:val="both"/>
        <w:rPr>
          <w:rFonts w:ascii="Times New Roman" w:hAnsi="Times New Roman" w:cs="Times New Roman"/>
          <w:sz w:val="28"/>
          <w:szCs w:val="28"/>
        </w:rPr>
      </w:pPr>
      <w:r w:rsidRPr="00FB1BF7">
        <w:rPr>
          <w:rFonts w:ascii="Times New Roman" w:hAnsi="Times New Roman" w:cs="Times New Roman"/>
          <w:sz w:val="28"/>
          <w:szCs w:val="28"/>
        </w:rPr>
        <w:t xml:space="preserve">I instruct you, as the jury in this case, that you are not to consider any such out of court statements or opinions by any non-testifying experts as substantive proof and you should not speculate as to what those statements or </w:t>
      </w:r>
      <w:r w:rsidR="00FB1BF7" w:rsidRPr="00FB1BF7">
        <w:rPr>
          <w:rFonts w:ascii="Times New Roman" w:hAnsi="Times New Roman" w:cs="Times New Roman"/>
          <w:sz w:val="28"/>
          <w:szCs w:val="28"/>
        </w:rPr>
        <w:t>opinions</w:t>
      </w:r>
      <w:r w:rsidRPr="00FB1BF7">
        <w:rPr>
          <w:rFonts w:ascii="Times New Roman" w:hAnsi="Times New Roman" w:cs="Times New Roman"/>
          <w:sz w:val="28"/>
          <w:szCs w:val="28"/>
        </w:rPr>
        <w:t xml:space="preserve"> are or were. </w:t>
      </w:r>
    </w:p>
    <w:p w:rsidR="00A055B7" w:rsidRPr="00FB1BF7" w:rsidRDefault="00A055B7" w:rsidP="00FB1BF7">
      <w:pPr>
        <w:spacing w:after="0" w:line="480" w:lineRule="auto"/>
        <w:ind w:firstLine="720"/>
        <w:contextualSpacing/>
        <w:jc w:val="both"/>
        <w:rPr>
          <w:rFonts w:ascii="Times New Roman" w:hAnsi="Times New Roman" w:cs="Times New Roman"/>
          <w:sz w:val="28"/>
          <w:szCs w:val="28"/>
        </w:rPr>
      </w:pPr>
      <w:r w:rsidRPr="00FB1BF7">
        <w:rPr>
          <w:rFonts w:ascii="Times New Roman" w:hAnsi="Times New Roman" w:cs="Times New Roman"/>
          <w:sz w:val="28"/>
          <w:szCs w:val="28"/>
        </w:rPr>
        <w:t xml:space="preserve">The fact that a testifying expert </w:t>
      </w:r>
      <w:r w:rsidR="000962A1">
        <w:rPr>
          <w:rFonts w:ascii="Times New Roman" w:hAnsi="Times New Roman" w:cs="Times New Roman"/>
          <w:sz w:val="28"/>
          <w:szCs w:val="28"/>
        </w:rPr>
        <w:t>[</w:t>
      </w:r>
      <w:r w:rsidRPr="000962A1">
        <w:rPr>
          <w:rFonts w:ascii="Times New Roman" w:hAnsi="Times New Roman" w:cs="Times New Roman"/>
          <w:i/>
          <w:sz w:val="28"/>
          <w:szCs w:val="28"/>
        </w:rPr>
        <w:t>relied upon</w:t>
      </w:r>
      <w:r w:rsidR="000962A1">
        <w:rPr>
          <w:rFonts w:ascii="Times New Roman" w:hAnsi="Times New Roman" w:cs="Times New Roman"/>
          <w:i/>
          <w:sz w:val="28"/>
          <w:szCs w:val="28"/>
        </w:rPr>
        <w:t xml:space="preserve"> or </w:t>
      </w:r>
      <w:r w:rsidR="000962A1" w:rsidRPr="000962A1">
        <w:rPr>
          <w:rFonts w:ascii="Times New Roman" w:hAnsi="Times New Roman" w:cs="Times New Roman"/>
          <w:i/>
          <w:sz w:val="28"/>
          <w:szCs w:val="28"/>
        </w:rPr>
        <w:t>failed to rely upon</w:t>
      </w:r>
      <w:r w:rsidR="000962A1">
        <w:rPr>
          <w:rFonts w:ascii="Times New Roman" w:hAnsi="Times New Roman" w:cs="Times New Roman"/>
          <w:sz w:val="28"/>
          <w:szCs w:val="28"/>
        </w:rPr>
        <w:t>]</w:t>
      </w:r>
      <w:r w:rsidRPr="00FB1BF7">
        <w:rPr>
          <w:rFonts w:ascii="Times New Roman" w:hAnsi="Times New Roman" w:cs="Times New Roman"/>
          <w:sz w:val="28"/>
          <w:szCs w:val="28"/>
        </w:rPr>
        <w:t xml:space="preserve"> reports of a non-testifying e</w:t>
      </w:r>
      <w:r w:rsidR="00FB1BF7" w:rsidRPr="00FB1BF7">
        <w:rPr>
          <w:rFonts w:ascii="Times New Roman" w:hAnsi="Times New Roman" w:cs="Times New Roman"/>
          <w:sz w:val="28"/>
          <w:szCs w:val="28"/>
        </w:rPr>
        <w:t>xpert [</w:t>
      </w:r>
      <w:r w:rsidR="00FB1BF7" w:rsidRPr="00FB1BF7">
        <w:rPr>
          <w:rFonts w:ascii="Times New Roman" w:hAnsi="Times New Roman" w:cs="Times New Roman"/>
          <w:i/>
          <w:sz w:val="28"/>
          <w:szCs w:val="28"/>
        </w:rPr>
        <w:t>or considered and rejected such a report</w:t>
      </w:r>
      <w:r w:rsidR="00FB1BF7" w:rsidRPr="004F0091">
        <w:rPr>
          <w:rFonts w:ascii="Times New Roman" w:hAnsi="Times New Roman" w:cs="Times New Roman"/>
          <w:sz w:val="28"/>
          <w:szCs w:val="28"/>
        </w:rPr>
        <w:t xml:space="preserve">] </w:t>
      </w:r>
      <w:r w:rsidR="00FB1BF7" w:rsidRPr="00FB1BF7">
        <w:rPr>
          <w:rFonts w:ascii="Times New Roman" w:hAnsi="Times New Roman" w:cs="Times New Roman"/>
          <w:sz w:val="28"/>
          <w:szCs w:val="28"/>
        </w:rPr>
        <w:t>may be considered by you for the limited purpose of the witness explaining the basis of his/her opinion, if it is a factor in such opinion, and your assessing the quality of his/her testimony and for no other purpose.</w:t>
      </w:r>
    </w:p>
    <w:sectPr w:rsidR="00A055B7" w:rsidRPr="00FB1B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9B" w:rsidRDefault="00AE259B" w:rsidP="00AE259B">
      <w:pPr>
        <w:spacing w:after="0" w:line="240" w:lineRule="auto"/>
      </w:pPr>
      <w:r>
        <w:separator/>
      </w:r>
    </w:p>
  </w:endnote>
  <w:endnote w:type="continuationSeparator" w:id="0">
    <w:p w:rsidR="00AE259B" w:rsidRDefault="00AE259B" w:rsidP="00AE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9B" w:rsidRDefault="00AE259B" w:rsidP="00AE259B">
      <w:pPr>
        <w:spacing w:after="0" w:line="240" w:lineRule="auto"/>
      </w:pPr>
      <w:r>
        <w:separator/>
      </w:r>
    </w:p>
  </w:footnote>
  <w:footnote w:type="continuationSeparator" w:id="0">
    <w:p w:rsidR="00AE259B" w:rsidRDefault="00AE259B" w:rsidP="00AE259B">
      <w:pPr>
        <w:spacing w:after="0" w:line="240" w:lineRule="auto"/>
      </w:pPr>
      <w:r>
        <w:continuationSeparator/>
      </w:r>
    </w:p>
  </w:footnote>
  <w:footnote w:id="1">
    <w:p w:rsidR="00B2684F" w:rsidRPr="00904A16" w:rsidRDefault="00A055B7" w:rsidP="00B2684F">
      <w:pPr>
        <w:pStyle w:val="Default"/>
        <w:rPr>
          <w:sz w:val="22"/>
          <w:szCs w:val="22"/>
        </w:rPr>
      </w:pPr>
      <w:r w:rsidRPr="00904A16">
        <w:rPr>
          <w:rStyle w:val="FootnoteReference"/>
          <w:sz w:val="22"/>
          <w:szCs w:val="22"/>
        </w:rPr>
        <w:footnoteRef/>
      </w:r>
      <w:r w:rsidRPr="00904A16">
        <w:rPr>
          <w:sz w:val="22"/>
          <w:szCs w:val="22"/>
        </w:rPr>
        <w:t xml:space="preserve"> </w:t>
      </w:r>
      <w:r w:rsidR="00B2684F" w:rsidRPr="00904A16">
        <w:rPr>
          <w:sz w:val="22"/>
          <w:szCs w:val="22"/>
        </w:rPr>
        <w:t xml:space="preserve">In the following instances, the Committee has approved specific charges on expert testimony and these charges should be given instead of the general charge on expert testimony: </w:t>
      </w:r>
    </w:p>
    <w:p w:rsidR="00B2684F" w:rsidRPr="00904A16" w:rsidRDefault="00B2684F" w:rsidP="00B2684F">
      <w:pPr>
        <w:pStyle w:val="Default"/>
        <w:rPr>
          <w:sz w:val="22"/>
          <w:szCs w:val="22"/>
        </w:rPr>
      </w:pPr>
      <w:r w:rsidRPr="00904A16">
        <w:rPr>
          <w:sz w:val="22"/>
          <w:szCs w:val="22"/>
        </w:rPr>
        <w:t xml:space="preserve">5.50 Medical Negligence </w:t>
      </w:r>
    </w:p>
    <w:p w:rsidR="00B2684F" w:rsidRPr="00904A16" w:rsidRDefault="00B2684F" w:rsidP="00B2684F">
      <w:pPr>
        <w:pStyle w:val="Default"/>
        <w:rPr>
          <w:sz w:val="22"/>
          <w:szCs w:val="22"/>
        </w:rPr>
      </w:pPr>
      <w:r w:rsidRPr="00904A16">
        <w:rPr>
          <w:sz w:val="22"/>
          <w:szCs w:val="22"/>
        </w:rPr>
        <w:t xml:space="preserve">5.51 Legal Malpractice </w:t>
      </w:r>
    </w:p>
    <w:p w:rsidR="00B2684F" w:rsidRPr="00904A16" w:rsidRDefault="00B2684F" w:rsidP="00B2684F">
      <w:pPr>
        <w:pStyle w:val="Default"/>
        <w:rPr>
          <w:sz w:val="22"/>
          <w:szCs w:val="22"/>
        </w:rPr>
      </w:pPr>
      <w:r w:rsidRPr="00904A16">
        <w:rPr>
          <w:sz w:val="22"/>
          <w:szCs w:val="22"/>
        </w:rPr>
        <w:t xml:space="preserve">5.52 Professional Liability of an Architect/Engineer </w:t>
      </w:r>
    </w:p>
    <w:p w:rsidR="00A055B7" w:rsidRPr="00904A16" w:rsidRDefault="00B2684F" w:rsidP="00B2684F">
      <w:pPr>
        <w:pStyle w:val="FootnoteText"/>
        <w:rPr>
          <w:rFonts w:ascii="Times New Roman" w:hAnsi="Times New Roman" w:cs="Times New Roman"/>
          <w:sz w:val="22"/>
          <w:szCs w:val="22"/>
        </w:rPr>
      </w:pPr>
      <w:r w:rsidRPr="00904A16">
        <w:rPr>
          <w:rFonts w:ascii="Times New Roman" w:hAnsi="Times New Roman" w:cs="Times New Roman"/>
          <w:sz w:val="22"/>
          <w:szCs w:val="22"/>
        </w:rPr>
        <w:t xml:space="preserve">9.10 Condemnation  </w:t>
      </w:r>
    </w:p>
  </w:footnote>
  <w:footnote w:id="2">
    <w:p w:rsidR="00A055B7" w:rsidRPr="004C3831" w:rsidRDefault="00A055B7">
      <w:pPr>
        <w:pStyle w:val="FootnoteText"/>
        <w:rPr>
          <w:rFonts w:ascii="Times New Roman" w:hAnsi="Times New Roman" w:cs="Times New Roman"/>
          <w:sz w:val="24"/>
          <w:szCs w:val="24"/>
        </w:rPr>
      </w:pPr>
      <w:r w:rsidRPr="00904A16">
        <w:rPr>
          <w:rStyle w:val="FootnoteReference"/>
          <w:rFonts w:ascii="Times New Roman" w:hAnsi="Times New Roman" w:cs="Times New Roman"/>
          <w:sz w:val="22"/>
          <w:szCs w:val="22"/>
        </w:rPr>
        <w:footnoteRef/>
      </w:r>
      <w:r w:rsidRPr="00904A16">
        <w:rPr>
          <w:rFonts w:ascii="Times New Roman" w:hAnsi="Times New Roman" w:cs="Times New Roman"/>
          <w:sz w:val="22"/>
          <w:szCs w:val="22"/>
        </w:rPr>
        <w:t xml:space="preserve"> </w:t>
      </w:r>
      <w:r w:rsidRPr="00904A16">
        <w:rPr>
          <w:rFonts w:ascii="Times New Roman" w:hAnsi="Times New Roman" w:cs="Times New Roman"/>
          <w:i/>
          <w:sz w:val="22"/>
          <w:szCs w:val="22"/>
        </w:rPr>
        <w:t xml:space="preserve">Agha v. </w:t>
      </w:r>
      <w:proofErr w:type="spellStart"/>
      <w:r w:rsidRPr="00904A16">
        <w:rPr>
          <w:rFonts w:ascii="Times New Roman" w:hAnsi="Times New Roman" w:cs="Times New Roman"/>
          <w:i/>
          <w:sz w:val="22"/>
          <w:szCs w:val="22"/>
        </w:rPr>
        <w:t>Feiner</w:t>
      </w:r>
      <w:proofErr w:type="spellEnd"/>
      <w:r w:rsidRPr="00904A16">
        <w:rPr>
          <w:rFonts w:ascii="Times New Roman" w:hAnsi="Times New Roman" w:cs="Times New Roman"/>
          <w:i/>
          <w:sz w:val="22"/>
          <w:szCs w:val="22"/>
        </w:rPr>
        <w:t xml:space="preserve">, </w:t>
      </w:r>
      <w:r w:rsidRPr="00904A16">
        <w:rPr>
          <w:rFonts w:ascii="Times New Roman" w:hAnsi="Times New Roman" w:cs="Times New Roman"/>
          <w:sz w:val="22"/>
          <w:szCs w:val="22"/>
        </w:rPr>
        <w:t xml:space="preserve">198 </w:t>
      </w:r>
      <w:r w:rsidRPr="00904A16">
        <w:rPr>
          <w:rFonts w:ascii="Times New Roman" w:hAnsi="Times New Roman" w:cs="Times New Roman"/>
          <w:i/>
          <w:sz w:val="22"/>
          <w:szCs w:val="22"/>
        </w:rPr>
        <w:t xml:space="preserve">N.J. </w:t>
      </w:r>
      <w:r w:rsidRPr="00904A16">
        <w:rPr>
          <w:rFonts w:ascii="Times New Roman" w:hAnsi="Times New Roman" w:cs="Times New Roman"/>
          <w:sz w:val="22"/>
          <w:szCs w:val="22"/>
        </w:rPr>
        <w:t>50 (2009)</w:t>
      </w:r>
      <w:r w:rsidR="00904A16" w:rsidRPr="00904A16">
        <w:rPr>
          <w:rFonts w:ascii="Times New Roman" w:hAnsi="Times New Roman" w:cs="Times New Roman"/>
          <w:sz w:val="22"/>
          <w:szCs w:val="22"/>
        </w:rPr>
        <w:t xml:space="preserve">; </w:t>
      </w:r>
      <w:r w:rsidR="00904A16" w:rsidRPr="00904A16">
        <w:rPr>
          <w:rFonts w:ascii="Times New Roman" w:hAnsi="Times New Roman" w:cs="Times New Roman"/>
          <w:i/>
          <w:sz w:val="22"/>
          <w:szCs w:val="22"/>
        </w:rPr>
        <w:t>James v. Ruiz</w:t>
      </w:r>
      <w:r w:rsidR="00904A16" w:rsidRPr="00904A16">
        <w:rPr>
          <w:rFonts w:ascii="Times New Roman" w:hAnsi="Times New Roman" w:cs="Times New Roman"/>
          <w:sz w:val="22"/>
          <w:szCs w:val="22"/>
        </w:rPr>
        <w:t xml:space="preserve">, 440 </w:t>
      </w:r>
      <w:r w:rsidR="00904A16" w:rsidRPr="00904A16">
        <w:rPr>
          <w:rFonts w:ascii="Times New Roman" w:hAnsi="Times New Roman" w:cs="Times New Roman"/>
          <w:i/>
          <w:sz w:val="22"/>
          <w:szCs w:val="22"/>
        </w:rPr>
        <w:t>N.J. Super.</w:t>
      </w:r>
      <w:r w:rsidR="00904A16" w:rsidRPr="00904A16">
        <w:rPr>
          <w:rFonts w:ascii="Times New Roman" w:hAnsi="Times New Roman" w:cs="Times New Roman"/>
          <w:sz w:val="22"/>
          <w:szCs w:val="22"/>
        </w:rPr>
        <w:t xml:space="preserve"> 45 (App. Div. 2015);</w:t>
      </w:r>
      <w:r w:rsidRPr="00904A16">
        <w:rPr>
          <w:rFonts w:ascii="Times New Roman" w:hAnsi="Times New Roman" w:cs="Times New Roman"/>
          <w:sz w:val="22"/>
          <w:szCs w:val="22"/>
        </w:rPr>
        <w:t xml:space="preserve"> and </w:t>
      </w:r>
      <w:r w:rsidRPr="00904A16">
        <w:rPr>
          <w:rFonts w:ascii="Times New Roman" w:hAnsi="Times New Roman" w:cs="Times New Roman"/>
          <w:i/>
          <w:sz w:val="22"/>
          <w:szCs w:val="22"/>
        </w:rPr>
        <w:t xml:space="preserve">N.J. Rule of Evidence </w:t>
      </w:r>
      <w:r w:rsidRPr="00904A16">
        <w:rPr>
          <w:rFonts w:ascii="Times New Roman" w:hAnsi="Times New Roman" w:cs="Times New Roman"/>
          <w:sz w:val="22"/>
          <w:szCs w:val="22"/>
        </w:rPr>
        <w:t>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9B" w:rsidRPr="00FB1BF7" w:rsidRDefault="00B2684F" w:rsidP="00AE259B">
    <w:pPr>
      <w:pStyle w:val="Header"/>
      <w:jc w:val="right"/>
      <w:rPr>
        <w:rFonts w:ascii="Times New Roman" w:hAnsi="Times New Roman" w:cs="Times New Roman"/>
        <w:b/>
        <w:sz w:val="28"/>
        <w:szCs w:val="28"/>
      </w:rPr>
    </w:pPr>
    <w:r>
      <w:rPr>
        <w:rFonts w:ascii="Times New Roman" w:hAnsi="Times New Roman" w:cs="Times New Roman"/>
        <w:b/>
        <w:sz w:val="28"/>
        <w:szCs w:val="28"/>
      </w:rPr>
      <w:t>CHARGE 1.13E –</w:t>
    </w:r>
    <w:r w:rsidR="00CC3B44">
      <w:rPr>
        <w:rFonts w:ascii="Times New Roman" w:hAnsi="Times New Roman" w:cs="Times New Roman"/>
        <w:b/>
        <w:sz w:val="28"/>
        <w:szCs w:val="28"/>
      </w:rPr>
      <w:t xml:space="preserve"> </w:t>
    </w:r>
    <w:r w:rsidR="00CC3B44" w:rsidRPr="00CC3B44">
      <w:rPr>
        <w:rFonts w:ascii="Times New Roman" w:hAnsi="Times New Roman" w:cs="Times New Roman"/>
        <w:b/>
        <w:sz w:val="28"/>
        <w:szCs w:val="28"/>
      </w:rPr>
      <w:t xml:space="preserve">Page </w:t>
    </w:r>
    <w:r w:rsidR="00CC3B44" w:rsidRPr="00CC3B44">
      <w:rPr>
        <w:rFonts w:ascii="Times New Roman" w:hAnsi="Times New Roman" w:cs="Times New Roman"/>
        <w:b/>
        <w:bCs/>
        <w:sz w:val="28"/>
        <w:szCs w:val="28"/>
      </w:rPr>
      <w:fldChar w:fldCharType="begin"/>
    </w:r>
    <w:r w:rsidR="00CC3B44" w:rsidRPr="00CC3B44">
      <w:rPr>
        <w:rFonts w:ascii="Times New Roman" w:hAnsi="Times New Roman" w:cs="Times New Roman"/>
        <w:b/>
        <w:bCs/>
        <w:sz w:val="28"/>
        <w:szCs w:val="28"/>
      </w:rPr>
      <w:instrText xml:space="preserve"> PAGE  \* Arabic  \* MERGEFORMAT </w:instrText>
    </w:r>
    <w:r w:rsidR="00CC3B44" w:rsidRPr="00CC3B44">
      <w:rPr>
        <w:rFonts w:ascii="Times New Roman" w:hAnsi="Times New Roman" w:cs="Times New Roman"/>
        <w:b/>
        <w:bCs/>
        <w:sz w:val="28"/>
        <w:szCs w:val="28"/>
      </w:rPr>
      <w:fldChar w:fldCharType="separate"/>
    </w:r>
    <w:r w:rsidR="00182900">
      <w:rPr>
        <w:rFonts w:ascii="Times New Roman" w:hAnsi="Times New Roman" w:cs="Times New Roman"/>
        <w:b/>
        <w:bCs/>
        <w:noProof/>
        <w:sz w:val="28"/>
        <w:szCs w:val="28"/>
      </w:rPr>
      <w:t>2</w:t>
    </w:r>
    <w:r w:rsidR="00CC3B44" w:rsidRPr="00CC3B44">
      <w:rPr>
        <w:rFonts w:ascii="Times New Roman" w:hAnsi="Times New Roman" w:cs="Times New Roman"/>
        <w:b/>
        <w:bCs/>
        <w:sz w:val="28"/>
        <w:szCs w:val="28"/>
      </w:rPr>
      <w:fldChar w:fldCharType="end"/>
    </w:r>
    <w:r w:rsidR="00CC3B44" w:rsidRPr="00CC3B44">
      <w:rPr>
        <w:rFonts w:ascii="Times New Roman" w:hAnsi="Times New Roman" w:cs="Times New Roman"/>
        <w:b/>
        <w:sz w:val="28"/>
        <w:szCs w:val="28"/>
      </w:rPr>
      <w:t xml:space="preserve"> of </w:t>
    </w:r>
    <w:r w:rsidR="00CC3B44" w:rsidRPr="00CC3B44">
      <w:rPr>
        <w:rFonts w:ascii="Times New Roman" w:hAnsi="Times New Roman" w:cs="Times New Roman"/>
        <w:b/>
        <w:bCs/>
        <w:sz w:val="28"/>
        <w:szCs w:val="28"/>
      </w:rPr>
      <w:fldChar w:fldCharType="begin"/>
    </w:r>
    <w:r w:rsidR="00CC3B44" w:rsidRPr="00CC3B44">
      <w:rPr>
        <w:rFonts w:ascii="Times New Roman" w:hAnsi="Times New Roman" w:cs="Times New Roman"/>
        <w:b/>
        <w:bCs/>
        <w:sz w:val="28"/>
        <w:szCs w:val="28"/>
      </w:rPr>
      <w:instrText xml:space="preserve"> NUMPAGES  \* Arabic  \* MERGEFORMAT </w:instrText>
    </w:r>
    <w:r w:rsidR="00CC3B44" w:rsidRPr="00CC3B44">
      <w:rPr>
        <w:rFonts w:ascii="Times New Roman" w:hAnsi="Times New Roman" w:cs="Times New Roman"/>
        <w:b/>
        <w:bCs/>
        <w:sz w:val="28"/>
        <w:szCs w:val="28"/>
      </w:rPr>
      <w:fldChar w:fldCharType="separate"/>
    </w:r>
    <w:r w:rsidR="00182900">
      <w:rPr>
        <w:rFonts w:ascii="Times New Roman" w:hAnsi="Times New Roman" w:cs="Times New Roman"/>
        <w:b/>
        <w:bCs/>
        <w:noProof/>
        <w:sz w:val="28"/>
        <w:szCs w:val="28"/>
      </w:rPr>
      <w:t>2</w:t>
    </w:r>
    <w:r w:rsidR="00CC3B44" w:rsidRPr="00CC3B44">
      <w:rPr>
        <w:rFonts w:ascii="Times New Roman" w:hAnsi="Times New Roman" w:cs="Times New Roman"/>
        <w:b/>
        <w:bCs/>
        <w:sz w:val="28"/>
        <w:szCs w:val="28"/>
      </w:rPr>
      <w:fldChar w:fldCharType="end"/>
    </w:r>
  </w:p>
  <w:p w:rsidR="00AE259B" w:rsidRDefault="00AE2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9B"/>
    <w:rsid w:val="000962A1"/>
    <w:rsid w:val="00125A6C"/>
    <w:rsid w:val="00182900"/>
    <w:rsid w:val="002F51A0"/>
    <w:rsid w:val="003A091E"/>
    <w:rsid w:val="004C3831"/>
    <w:rsid w:val="004F0091"/>
    <w:rsid w:val="00582CF3"/>
    <w:rsid w:val="006569D0"/>
    <w:rsid w:val="00904A16"/>
    <w:rsid w:val="00A055B7"/>
    <w:rsid w:val="00AE259B"/>
    <w:rsid w:val="00B2684F"/>
    <w:rsid w:val="00C736C1"/>
    <w:rsid w:val="00CC3B44"/>
    <w:rsid w:val="00D77527"/>
    <w:rsid w:val="00D83C2E"/>
    <w:rsid w:val="00DC671D"/>
    <w:rsid w:val="00FB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C957A02-DEFC-4496-BB1E-5E9511AD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59B"/>
  </w:style>
  <w:style w:type="paragraph" w:styleId="Footer">
    <w:name w:val="footer"/>
    <w:basedOn w:val="Normal"/>
    <w:link w:val="FooterChar"/>
    <w:uiPriority w:val="99"/>
    <w:unhideWhenUsed/>
    <w:rsid w:val="00AE2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59B"/>
  </w:style>
  <w:style w:type="paragraph" w:styleId="FootnoteText">
    <w:name w:val="footnote text"/>
    <w:basedOn w:val="Normal"/>
    <w:link w:val="FootnoteTextChar"/>
    <w:uiPriority w:val="99"/>
    <w:semiHidden/>
    <w:unhideWhenUsed/>
    <w:rsid w:val="00A05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5B7"/>
    <w:rPr>
      <w:sz w:val="20"/>
      <w:szCs w:val="20"/>
    </w:rPr>
  </w:style>
  <w:style w:type="character" w:styleId="FootnoteReference">
    <w:name w:val="footnote reference"/>
    <w:basedOn w:val="DefaultParagraphFont"/>
    <w:uiPriority w:val="99"/>
    <w:semiHidden/>
    <w:unhideWhenUsed/>
    <w:rsid w:val="00A055B7"/>
    <w:rPr>
      <w:vertAlign w:val="superscript"/>
    </w:rPr>
  </w:style>
  <w:style w:type="paragraph" w:styleId="BalloonText">
    <w:name w:val="Balloon Text"/>
    <w:basedOn w:val="Normal"/>
    <w:link w:val="BalloonTextChar"/>
    <w:uiPriority w:val="99"/>
    <w:semiHidden/>
    <w:unhideWhenUsed/>
    <w:rsid w:val="00FB1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BF7"/>
    <w:rPr>
      <w:rFonts w:ascii="Segoe UI" w:hAnsi="Segoe UI" w:cs="Segoe UI"/>
      <w:sz w:val="18"/>
      <w:szCs w:val="18"/>
    </w:rPr>
  </w:style>
  <w:style w:type="paragraph" w:customStyle="1" w:styleId="Default">
    <w:name w:val="Default"/>
    <w:rsid w:val="00B268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ADFE-0C68-4446-9472-76F1B87C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PC336342</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Porto</dc:creator>
  <cp:keywords/>
  <dc:description/>
  <cp:lastModifiedBy>Marian Green</cp:lastModifiedBy>
  <cp:revision>5</cp:revision>
  <cp:lastPrinted>2015-10-19T16:31:00Z</cp:lastPrinted>
  <dcterms:created xsi:type="dcterms:W3CDTF">2015-10-19T20:06:00Z</dcterms:created>
  <dcterms:modified xsi:type="dcterms:W3CDTF">2016-01-05T18:45:00Z</dcterms:modified>
</cp:coreProperties>
</file>