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69" w:rsidRDefault="005A5ED9">
      <w:pPr>
        <w:tabs>
          <w:tab w:val="left" w:pos="720"/>
          <w:tab w:val="left" w:pos="1440"/>
        </w:tabs>
        <w:ind w:left="1440" w:hanging="1440"/>
        <w:jc w:val="both"/>
        <w:rPr>
          <w:sz w:val="28"/>
          <w:szCs w:val="28"/>
        </w:rPr>
      </w:pPr>
      <w:bookmarkStart w:id="0" w:name="_GoBack"/>
      <w:bookmarkEnd w:id="0"/>
      <w:r>
        <w:rPr>
          <w:b/>
          <w:bCs/>
          <w:sz w:val="28"/>
          <w:szCs w:val="28"/>
        </w:rPr>
        <w:t>1.18</w:t>
      </w:r>
      <w:r>
        <w:rPr>
          <w:b/>
          <w:bCs/>
          <w:sz w:val="28"/>
          <w:szCs w:val="28"/>
        </w:rPr>
        <w:tab/>
      </w:r>
      <w:r>
        <w:rPr>
          <w:b/>
          <w:bCs/>
          <w:sz w:val="28"/>
          <w:szCs w:val="28"/>
        </w:rPr>
        <w:tab/>
        <w:t>WITNESS</w:t>
      </w:r>
      <w:r w:rsidR="00D83C85">
        <w:rPr>
          <w:b/>
          <w:bCs/>
          <w:sz w:val="28"/>
          <w:szCs w:val="28"/>
        </w:rPr>
        <w:t xml:space="preserve"> — </w:t>
      </w:r>
      <w:r>
        <w:rPr>
          <w:b/>
          <w:bCs/>
          <w:sz w:val="28"/>
          <w:szCs w:val="28"/>
        </w:rPr>
        <w:t>FAILURE OF A PARTY TO PRODUCE</w:t>
      </w:r>
      <w:r w:rsidR="00594969">
        <w:rPr>
          <w:sz w:val="28"/>
          <w:szCs w:val="28"/>
        </w:rPr>
        <w:t xml:space="preserve">; </w:t>
      </w:r>
    </w:p>
    <w:p w:rsidR="005A5ED9" w:rsidRDefault="00594969">
      <w:pPr>
        <w:tabs>
          <w:tab w:val="left" w:pos="720"/>
          <w:tab w:val="left" w:pos="1440"/>
        </w:tabs>
        <w:ind w:left="1440" w:hanging="1440"/>
        <w:jc w:val="both"/>
        <w:rPr>
          <w:sz w:val="28"/>
          <w:szCs w:val="28"/>
        </w:rPr>
      </w:pPr>
      <w:r>
        <w:rPr>
          <w:b/>
          <w:sz w:val="28"/>
          <w:szCs w:val="28"/>
        </w:rPr>
        <w:tab/>
      </w:r>
      <w:r>
        <w:rPr>
          <w:b/>
          <w:sz w:val="28"/>
          <w:szCs w:val="28"/>
        </w:rPr>
        <w:tab/>
        <w:t>ADVERSE INFERENCE</w:t>
      </w:r>
      <w:r w:rsidR="007A3D02">
        <w:rPr>
          <w:b/>
          <w:sz w:val="28"/>
          <w:szCs w:val="28"/>
        </w:rPr>
        <w:t xml:space="preserve"> </w:t>
      </w:r>
      <w:r w:rsidR="005A5ED9">
        <w:rPr>
          <w:sz w:val="28"/>
          <w:szCs w:val="28"/>
        </w:rPr>
        <w:t xml:space="preserve">(Approved </w:t>
      </w:r>
      <w:r w:rsidR="00754D83">
        <w:rPr>
          <w:sz w:val="28"/>
          <w:szCs w:val="28"/>
        </w:rPr>
        <w:t>0</w:t>
      </w:r>
      <w:r w:rsidR="007A3D02">
        <w:rPr>
          <w:sz w:val="28"/>
          <w:szCs w:val="28"/>
        </w:rPr>
        <w:t>5/</w:t>
      </w:r>
      <w:r w:rsidR="00FF27D9">
        <w:rPr>
          <w:sz w:val="28"/>
          <w:szCs w:val="28"/>
        </w:rPr>
        <w:t>19</w:t>
      </w:r>
      <w:r w:rsidR="006F4A26">
        <w:rPr>
          <w:sz w:val="28"/>
          <w:szCs w:val="28"/>
        </w:rPr>
        <w:t xml:space="preserve">70; Revised </w:t>
      </w:r>
      <w:r w:rsidR="002E112B">
        <w:rPr>
          <w:sz w:val="28"/>
          <w:szCs w:val="28"/>
        </w:rPr>
        <w:t>10</w:t>
      </w:r>
      <w:r w:rsidR="003B6478">
        <w:rPr>
          <w:sz w:val="28"/>
          <w:szCs w:val="28"/>
        </w:rPr>
        <w:t>/2016</w:t>
      </w:r>
      <w:r w:rsidR="005A5ED9">
        <w:rPr>
          <w:sz w:val="28"/>
          <w:szCs w:val="28"/>
        </w:rPr>
        <w:t>)</w:t>
      </w:r>
    </w:p>
    <w:p w:rsidR="005A5ED9" w:rsidRDefault="005A5ED9">
      <w:pPr>
        <w:tabs>
          <w:tab w:val="left" w:pos="720"/>
          <w:tab w:val="left" w:pos="1440"/>
        </w:tabs>
        <w:ind w:left="1440" w:hanging="1440"/>
        <w:jc w:val="both"/>
        <w:rPr>
          <w:sz w:val="28"/>
          <w:szCs w:val="28"/>
        </w:rPr>
      </w:pPr>
    </w:p>
    <w:p w:rsidR="009A6F86" w:rsidRDefault="009A6F86" w:rsidP="009A6F86">
      <w:pPr>
        <w:tabs>
          <w:tab w:val="left" w:pos="720"/>
          <w:tab w:val="left" w:pos="1440"/>
        </w:tabs>
        <w:ind w:left="1440" w:hanging="1440"/>
        <w:jc w:val="center"/>
        <w:rPr>
          <w:sz w:val="28"/>
          <w:szCs w:val="28"/>
        </w:rPr>
      </w:pPr>
      <w:r>
        <w:rPr>
          <w:b/>
          <w:i/>
          <w:sz w:val="28"/>
          <w:szCs w:val="28"/>
        </w:rPr>
        <w:t>NOTE TO JUDGE</w:t>
      </w:r>
    </w:p>
    <w:p w:rsidR="009A6F86" w:rsidRDefault="009A6F86" w:rsidP="009A6F86">
      <w:pPr>
        <w:tabs>
          <w:tab w:val="left" w:pos="720"/>
          <w:tab w:val="left" w:pos="1440"/>
        </w:tabs>
        <w:ind w:left="1440" w:hanging="1440"/>
        <w:rPr>
          <w:sz w:val="28"/>
          <w:szCs w:val="28"/>
        </w:rPr>
      </w:pPr>
    </w:p>
    <w:p w:rsidR="009A6F86" w:rsidRPr="009A6F86" w:rsidRDefault="009A6F86" w:rsidP="000307A0">
      <w:pPr>
        <w:ind w:left="720" w:right="720"/>
        <w:jc w:val="both"/>
        <w:rPr>
          <w:sz w:val="28"/>
          <w:szCs w:val="28"/>
        </w:rPr>
      </w:pPr>
      <w:r>
        <w:rPr>
          <w:sz w:val="28"/>
          <w:szCs w:val="28"/>
        </w:rPr>
        <w:t xml:space="preserve">Before charging the jury as to adverse inference, the party seeking the charge must, before the parties rest, notify the trial judge and the opposing party outside the presence of the jury, state the name of the witness(es) not called, and indicate why this witness(es) have superior knowledge of the relevant facts.  </w:t>
      </w:r>
      <w:r>
        <w:rPr>
          <w:i/>
          <w:sz w:val="28"/>
          <w:szCs w:val="28"/>
        </w:rPr>
        <w:t>State v. Hill,</w:t>
      </w:r>
      <w:r>
        <w:rPr>
          <w:sz w:val="28"/>
          <w:szCs w:val="28"/>
        </w:rPr>
        <w:t xml:space="preserve"> 199 </w:t>
      </w:r>
      <w:r>
        <w:rPr>
          <w:i/>
          <w:sz w:val="28"/>
          <w:szCs w:val="28"/>
        </w:rPr>
        <w:t>N.J.</w:t>
      </w:r>
      <w:r>
        <w:rPr>
          <w:sz w:val="28"/>
          <w:szCs w:val="28"/>
        </w:rPr>
        <w:t xml:space="preserve"> 545, 560-61 (2009).  The trial court must rule on this issue before a jury instruction is allowed.  </w:t>
      </w:r>
      <w:r>
        <w:rPr>
          <w:i/>
          <w:sz w:val="28"/>
          <w:szCs w:val="28"/>
        </w:rPr>
        <w:t>Id</w:t>
      </w:r>
      <w:r>
        <w:rPr>
          <w:sz w:val="28"/>
          <w:szCs w:val="28"/>
        </w:rPr>
        <w:t xml:space="preserve"> at 561.  In making its decision, the trial court must consider various factors and place on the record findings as to each of these factors.  </w:t>
      </w:r>
      <w:r>
        <w:rPr>
          <w:i/>
          <w:sz w:val="28"/>
          <w:szCs w:val="28"/>
        </w:rPr>
        <w:t>Id.</w:t>
      </w:r>
      <w:r>
        <w:rPr>
          <w:sz w:val="28"/>
          <w:szCs w:val="28"/>
        </w:rPr>
        <w:t xml:space="preserve">  </w:t>
      </w:r>
      <w:r w:rsidR="003B6478">
        <w:rPr>
          <w:sz w:val="28"/>
          <w:szCs w:val="28"/>
        </w:rPr>
        <w:t xml:space="preserve">To guide that assessment, the Court in </w:t>
      </w:r>
      <w:r w:rsidR="003B6478" w:rsidRPr="00286708">
        <w:rPr>
          <w:i/>
          <w:sz w:val="28"/>
          <w:szCs w:val="28"/>
        </w:rPr>
        <w:t>Hill</w:t>
      </w:r>
      <w:r w:rsidR="003B6478">
        <w:rPr>
          <w:sz w:val="28"/>
          <w:szCs w:val="28"/>
        </w:rPr>
        <w:t xml:space="preserve"> prescribed a four-pronged test:</w:t>
      </w:r>
      <w:r w:rsidR="00416FCD">
        <w:rPr>
          <w:sz w:val="28"/>
          <w:szCs w:val="28"/>
        </w:rPr>
        <w:t xml:space="preserve">  </w:t>
      </w:r>
      <w:r w:rsidR="003B6478">
        <w:rPr>
          <w:sz w:val="28"/>
          <w:szCs w:val="28"/>
        </w:rPr>
        <w:t>(</w:t>
      </w:r>
      <w:r w:rsidR="008F4CE5">
        <w:rPr>
          <w:sz w:val="28"/>
          <w:szCs w:val="28"/>
        </w:rPr>
        <w:t>1</w:t>
      </w:r>
      <w:r w:rsidR="003B6478">
        <w:rPr>
          <w:sz w:val="28"/>
          <w:szCs w:val="28"/>
        </w:rPr>
        <w:t>)</w:t>
      </w:r>
      <w:r w:rsidR="00416FCD">
        <w:rPr>
          <w:sz w:val="28"/>
          <w:szCs w:val="28"/>
        </w:rPr>
        <w:t xml:space="preserve"> </w:t>
      </w:r>
      <w:r w:rsidR="003B6478">
        <w:rPr>
          <w:sz w:val="28"/>
          <w:szCs w:val="28"/>
        </w:rPr>
        <w:t xml:space="preserve">that the uncalled witness is peculiarly within the control or power of only the one party, or that there is a special relationship between the party and </w:t>
      </w:r>
      <w:r w:rsidR="008F4CE5">
        <w:rPr>
          <w:sz w:val="28"/>
          <w:szCs w:val="28"/>
        </w:rPr>
        <w:t>t</w:t>
      </w:r>
      <w:r w:rsidR="003B6478">
        <w:rPr>
          <w:sz w:val="28"/>
          <w:szCs w:val="28"/>
        </w:rPr>
        <w:t>he witness or the party has superior knowledge of the identity of the witness or of the testimony the witness might be expected to give;</w:t>
      </w:r>
      <w:r w:rsidR="00416FCD">
        <w:rPr>
          <w:sz w:val="28"/>
          <w:szCs w:val="28"/>
        </w:rPr>
        <w:t xml:space="preserve"> </w:t>
      </w:r>
      <w:r w:rsidR="003B6478">
        <w:rPr>
          <w:sz w:val="28"/>
          <w:szCs w:val="28"/>
        </w:rPr>
        <w:t>(</w:t>
      </w:r>
      <w:r w:rsidR="008F4CE5">
        <w:rPr>
          <w:sz w:val="28"/>
          <w:szCs w:val="28"/>
        </w:rPr>
        <w:t>2</w:t>
      </w:r>
      <w:r w:rsidR="003B6478">
        <w:rPr>
          <w:sz w:val="28"/>
          <w:szCs w:val="28"/>
        </w:rPr>
        <w:t>)</w:t>
      </w:r>
      <w:r w:rsidR="00416FCD">
        <w:rPr>
          <w:sz w:val="28"/>
          <w:szCs w:val="28"/>
        </w:rPr>
        <w:t xml:space="preserve"> </w:t>
      </w:r>
      <w:r w:rsidR="003B6478">
        <w:rPr>
          <w:sz w:val="28"/>
          <w:szCs w:val="28"/>
        </w:rPr>
        <w:t>that the witness is available to that party both practically and physically;</w:t>
      </w:r>
      <w:r w:rsidR="00416FCD">
        <w:rPr>
          <w:sz w:val="28"/>
          <w:szCs w:val="28"/>
        </w:rPr>
        <w:t xml:space="preserve"> </w:t>
      </w:r>
      <w:r w:rsidR="003B6478">
        <w:rPr>
          <w:sz w:val="28"/>
          <w:szCs w:val="28"/>
        </w:rPr>
        <w:t>(</w:t>
      </w:r>
      <w:r w:rsidR="008F4CE5">
        <w:rPr>
          <w:sz w:val="28"/>
          <w:szCs w:val="28"/>
        </w:rPr>
        <w:t>3</w:t>
      </w:r>
      <w:r w:rsidR="003B6478">
        <w:rPr>
          <w:sz w:val="28"/>
          <w:szCs w:val="28"/>
        </w:rPr>
        <w:t>)</w:t>
      </w:r>
      <w:r w:rsidR="00416FCD">
        <w:rPr>
          <w:sz w:val="28"/>
          <w:szCs w:val="28"/>
        </w:rPr>
        <w:t xml:space="preserve"> </w:t>
      </w:r>
      <w:r w:rsidR="003B6478">
        <w:rPr>
          <w:sz w:val="28"/>
          <w:szCs w:val="28"/>
        </w:rPr>
        <w:t xml:space="preserve">that the testimony </w:t>
      </w:r>
      <w:r w:rsidR="00416FCD">
        <w:rPr>
          <w:sz w:val="28"/>
          <w:szCs w:val="28"/>
        </w:rPr>
        <w:t xml:space="preserve">of </w:t>
      </w:r>
      <w:r w:rsidR="003B6478">
        <w:rPr>
          <w:sz w:val="28"/>
          <w:szCs w:val="28"/>
        </w:rPr>
        <w:t>the uncalled witness will elucidate relevant and critical facts issue; and</w:t>
      </w:r>
      <w:r w:rsidR="00416FCD">
        <w:rPr>
          <w:sz w:val="28"/>
          <w:szCs w:val="28"/>
        </w:rPr>
        <w:t xml:space="preserve"> </w:t>
      </w:r>
      <w:r w:rsidR="003B6478">
        <w:rPr>
          <w:sz w:val="28"/>
          <w:szCs w:val="28"/>
        </w:rPr>
        <w:t>(</w:t>
      </w:r>
      <w:r w:rsidR="008F4CE5">
        <w:rPr>
          <w:sz w:val="28"/>
          <w:szCs w:val="28"/>
        </w:rPr>
        <w:t>4</w:t>
      </w:r>
      <w:r w:rsidR="003B6478">
        <w:rPr>
          <w:sz w:val="28"/>
          <w:szCs w:val="28"/>
        </w:rPr>
        <w:t>)</w:t>
      </w:r>
      <w:r w:rsidR="00416FCD">
        <w:rPr>
          <w:sz w:val="28"/>
          <w:szCs w:val="28"/>
        </w:rPr>
        <w:t xml:space="preserve"> </w:t>
      </w:r>
      <w:r w:rsidR="003B6478">
        <w:rPr>
          <w:sz w:val="28"/>
          <w:szCs w:val="28"/>
        </w:rPr>
        <w:t>that such testimony appears to be superior to that already utilized in respect to the fact to be proven.</w:t>
      </w:r>
      <w:r w:rsidR="000307A0">
        <w:rPr>
          <w:sz w:val="28"/>
          <w:szCs w:val="28"/>
        </w:rPr>
        <w:t xml:space="preserve">  </w:t>
      </w:r>
      <w:r w:rsidR="003B6478" w:rsidRPr="00416FCD">
        <w:rPr>
          <w:i/>
          <w:sz w:val="28"/>
          <w:szCs w:val="28"/>
        </w:rPr>
        <w:t>Id</w:t>
      </w:r>
      <w:r w:rsidR="003B6478">
        <w:rPr>
          <w:sz w:val="28"/>
          <w:szCs w:val="28"/>
        </w:rPr>
        <w:t xml:space="preserve">. at 561-62.  (See also </w:t>
      </w:r>
      <w:r w:rsidR="003B6478" w:rsidRPr="00416FCD">
        <w:rPr>
          <w:i/>
          <w:sz w:val="28"/>
          <w:szCs w:val="28"/>
        </w:rPr>
        <w:t>Torres v. Pabon</w:t>
      </w:r>
      <w:r w:rsidR="0011096E">
        <w:rPr>
          <w:sz w:val="28"/>
          <w:szCs w:val="28"/>
        </w:rPr>
        <w:t>,</w:t>
      </w:r>
      <w:r w:rsidR="000307A0">
        <w:rPr>
          <w:sz w:val="28"/>
          <w:szCs w:val="28"/>
        </w:rPr>
        <w:t xml:space="preserve"> </w:t>
      </w:r>
      <w:r w:rsidR="0011096E">
        <w:rPr>
          <w:sz w:val="28"/>
          <w:szCs w:val="28"/>
        </w:rPr>
        <w:t xml:space="preserve">225 </w:t>
      </w:r>
      <w:r w:rsidR="0011096E" w:rsidRPr="00416FCD">
        <w:rPr>
          <w:i/>
          <w:sz w:val="28"/>
          <w:szCs w:val="28"/>
        </w:rPr>
        <w:t>N.J.</w:t>
      </w:r>
      <w:r w:rsidR="0011096E">
        <w:rPr>
          <w:sz w:val="28"/>
          <w:szCs w:val="28"/>
        </w:rPr>
        <w:t xml:space="preserve"> 167 (2016)</w:t>
      </w:r>
      <w:r w:rsidR="003B6478">
        <w:rPr>
          <w:sz w:val="28"/>
          <w:szCs w:val="28"/>
        </w:rPr>
        <w:t>.</w:t>
      </w:r>
      <w:r w:rsidR="00416FCD">
        <w:rPr>
          <w:sz w:val="28"/>
          <w:szCs w:val="28"/>
        </w:rPr>
        <w:t xml:space="preserve">  </w:t>
      </w:r>
      <w:r>
        <w:rPr>
          <w:sz w:val="28"/>
          <w:szCs w:val="28"/>
        </w:rPr>
        <w:t xml:space="preserve">In a personal injury trial context, this charge should rarely be given to address the absence of an expert witness.  </w:t>
      </w:r>
      <w:r>
        <w:rPr>
          <w:i/>
          <w:sz w:val="28"/>
          <w:szCs w:val="28"/>
        </w:rPr>
        <w:t>Washington v. Perez</w:t>
      </w:r>
      <w:r>
        <w:rPr>
          <w:sz w:val="28"/>
          <w:szCs w:val="28"/>
        </w:rPr>
        <w:t xml:space="preserve">, 219 </w:t>
      </w:r>
      <w:r>
        <w:rPr>
          <w:i/>
          <w:sz w:val="28"/>
          <w:szCs w:val="28"/>
        </w:rPr>
        <w:t>N.J.</w:t>
      </w:r>
      <w:r>
        <w:rPr>
          <w:sz w:val="28"/>
          <w:szCs w:val="28"/>
        </w:rPr>
        <w:t xml:space="preserve"> 338 (2014).  </w:t>
      </w:r>
    </w:p>
    <w:p w:rsidR="000307A0" w:rsidRDefault="000307A0" w:rsidP="000307A0">
      <w:pPr>
        <w:tabs>
          <w:tab w:val="left" w:pos="720"/>
          <w:tab w:val="left" w:pos="1440"/>
        </w:tabs>
        <w:ind w:left="1440" w:hanging="1440"/>
        <w:jc w:val="both"/>
        <w:rPr>
          <w:sz w:val="28"/>
          <w:szCs w:val="28"/>
        </w:rPr>
      </w:pPr>
    </w:p>
    <w:p w:rsidR="000307A0" w:rsidRDefault="000307A0" w:rsidP="000307A0">
      <w:pPr>
        <w:tabs>
          <w:tab w:val="left" w:pos="720"/>
          <w:tab w:val="left" w:pos="1440"/>
        </w:tabs>
        <w:ind w:left="1440" w:hanging="720"/>
        <w:jc w:val="both"/>
        <w:rPr>
          <w:b/>
          <w:bCs/>
          <w:sz w:val="28"/>
          <w:szCs w:val="28"/>
        </w:rPr>
      </w:pPr>
      <w:r>
        <w:rPr>
          <w:b/>
          <w:bCs/>
          <w:sz w:val="28"/>
          <w:szCs w:val="28"/>
        </w:rPr>
        <w:t>A.</w:t>
      </w:r>
      <w:r>
        <w:rPr>
          <w:b/>
          <w:bCs/>
          <w:sz w:val="28"/>
          <w:szCs w:val="28"/>
        </w:rPr>
        <w:tab/>
        <w:t xml:space="preserve">When Judge Has Determined that the Adverse Inference May Be Drawn </w:t>
      </w:r>
    </w:p>
    <w:p w:rsidR="000307A0" w:rsidRDefault="000307A0" w:rsidP="000307A0">
      <w:pPr>
        <w:keepNext/>
        <w:keepLines/>
        <w:tabs>
          <w:tab w:val="left" w:pos="720"/>
          <w:tab w:val="left" w:pos="1440"/>
        </w:tabs>
        <w:suppressAutoHyphens/>
        <w:jc w:val="both"/>
        <w:rPr>
          <w:b/>
          <w:sz w:val="28"/>
          <w:szCs w:val="28"/>
        </w:rPr>
      </w:pPr>
    </w:p>
    <w:p w:rsidR="000307A0" w:rsidRDefault="000307A0" w:rsidP="000307A0">
      <w:pPr>
        <w:keepLines/>
        <w:suppressAutoHyphens/>
        <w:spacing w:line="480" w:lineRule="auto"/>
        <w:jc w:val="both"/>
        <w:rPr>
          <w:sz w:val="28"/>
          <w:szCs w:val="28"/>
        </w:rPr>
      </w:pPr>
      <w:r>
        <w:rPr>
          <w:sz w:val="28"/>
          <w:szCs w:val="28"/>
        </w:rPr>
        <w:tab/>
        <w:t>Reference has been made to _______________________ (as a person who has information relevant to the matter before you) and that the plaintiff/defendant has failed to call him/her to testify.</w:t>
      </w:r>
    </w:p>
    <w:p w:rsidR="000307A0" w:rsidRDefault="000307A0" w:rsidP="000307A0">
      <w:pPr>
        <w:suppressAutoHyphens/>
        <w:spacing w:line="480" w:lineRule="auto"/>
        <w:jc w:val="both"/>
        <w:rPr>
          <w:sz w:val="28"/>
          <w:szCs w:val="28"/>
        </w:rPr>
      </w:pPr>
      <w:r>
        <w:rPr>
          <w:sz w:val="28"/>
          <w:szCs w:val="28"/>
        </w:rPr>
        <w:tab/>
        <w:t xml:space="preserve">The rule is that where a party (plaintiff/defendant) fails to produce as a witness a person whom that party would naturally be expected to call to testify, you have a </w:t>
      </w:r>
      <w:r>
        <w:rPr>
          <w:sz w:val="28"/>
          <w:szCs w:val="28"/>
        </w:rPr>
        <w:lastRenderedPageBreak/>
        <w:t>right to infer that had the witness been produced he/she would have testified adversely to the interests of that party (plaintiff/defendant).</w:t>
      </w:r>
    </w:p>
    <w:p w:rsidR="000307A0" w:rsidRDefault="000307A0" w:rsidP="000307A0">
      <w:pPr>
        <w:suppressAutoHyphens/>
        <w:spacing w:line="480" w:lineRule="auto"/>
        <w:jc w:val="both"/>
        <w:rPr>
          <w:sz w:val="28"/>
          <w:szCs w:val="28"/>
        </w:rPr>
      </w:pPr>
      <w:r>
        <w:rPr>
          <w:sz w:val="28"/>
          <w:szCs w:val="28"/>
        </w:rPr>
        <w:tab/>
        <w:t>The reason for this rule is that where you would normally expect a party to call a person as a witness and that party, without reasonable explanation, fails to do so, it leaves a natural inference that the non-producing party fears exposure of facts which would be unfavorable to him/her.</w:t>
      </w:r>
    </w:p>
    <w:p w:rsidR="000307A0" w:rsidRDefault="000307A0" w:rsidP="000307A0">
      <w:pPr>
        <w:suppressAutoHyphens/>
        <w:spacing w:line="480" w:lineRule="auto"/>
        <w:jc w:val="both"/>
        <w:rPr>
          <w:b/>
          <w:bCs/>
          <w:sz w:val="28"/>
          <w:szCs w:val="28"/>
        </w:rPr>
      </w:pPr>
      <w:r>
        <w:rPr>
          <w:b/>
          <w:bCs/>
          <w:sz w:val="28"/>
          <w:szCs w:val="28"/>
          <w:u w:val="single"/>
        </w:rPr>
        <w:t>Cases</w:t>
      </w:r>
      <w:r>
        <w:rPr>
          <w:b/>
          <w:bCs/>
          <w:sz w:val="28"/>
          <w:szCs w:val="28"/>
        </w:rPr>
        <w:t>:</w:t>
      </w:r>
    </w:p>
    <w:p w:rsidR="000307A0" w:rsidRDefault="000307A0" w:rsidP="000307A0">
      <w:pPr>
        <w:suppressAutoHyphens/>
        <w:jc w:val="both"/>
        <w:rPr>
          <w:sz w:val="28"/>
          <w:szCs w:val="28"/>
        </w:rPr>
      </w:pPr>
      <w:smartTag w:uri="urn:schemas-microsoft-com:office:smarttags" w:element="PlaceName">
        <w:r>
          <w:rPr>
            <w:i/>
            <w:iCs/>
            <w:sz w:val="28"/>
            <w:szCs w:val="28"/>
          </w:rPr>
          <w:t>See</w:t>
        </w:r>
      </w:smartTag>
      <w:r>
        <w:rPr>
          <w:sz w:val="28"/>
          <w:szCs w:val="28"/>
        </w:rPr>
        <w:t xml:space="preserve"> </w:t>
      </w:r>
      <w:r w:rsidRPr="00416FCD">
        <w:rPr>
          <w:i/>
          <w:sz w:val="28"/>
          <w:szCs w:val="28"/>
        </w:rPr>
        <w:t>Torres v. Pabon</w:t>
      </w:r>
      <w:r w:rsidR="0011096E">
        <w:rPr>
          <w:i/>
          <w:sz w:val="28"/>
          <w:szCs w:val="28"/>
        </w:rPr>
        <w:t>,</w:t>
      </w:r>
      <w:r>
        <w:rPr>
          <w:sz w:val="28"/>
          <w:szCs w:val="28"/>
        </w:rPr>
        <w:t xml:space="preserve"> </w:t>
      </w:r>
      <w:r w:rsidR="00ED0EF3">
        <w:rPr>
          <w:sz w:val="28"/>
          <w:szCs w:val="28"/>
        </w:rPr>
        <w:t>225</w:t>
      </w:r>
      <w:r>
        <w:rPr>
          <w:sz w:val="28"/>
          <w:szCs w:val="28"/>
        </w:rPr>
        <w:t xml:space="preserve"> </w:t>
      </w:r>
      <w:r w:rsidRPr="00416FCD">
        <w:rPr>
          <w:i/>
          <w:sz w:val="28"/>
          <w:szCs w:val="28"/>
        </w:rPr>
        <w:t>N.J.</w:t>
      </w:r>
      <w:r>
        <w:rPr>
          <w:sz w:val="28"/>
          <w:szCs w:val="28"/>
        </w:rPr>
        <w:t xml:space="preserve"> </w:t>
      </w:r>
      <w:r w:rsidR="00ED0EF3">
        <w:rPr>
          <w:sz w:val="28"/>
          <w:szCs w:val="28"/>
        </w:rPr>
        <w:t xml:space="preserve">167 </w:t>
      </w:r>
      <w:r>
        <w:rPr>
          <w:sz w:val="28"/>
          <w:szCs w:val="28"/>
        </w:rPr>
        <w:t xml:space="preserve">(2016); </w:t>
      </w:r>
      <w:r>
        <w:rPr>
          <w:i/>
          <w:sz w:val="28"/>
          <w:szCs w:val="28"/>
        </w:rPr>
        <w:t xml:space="preserve">State v. </w:t>
      </w:r>
      <w:smartTag w:uri="urn:schemas-microsoft-com:office:smarttags" w:element="City">
        <w:r>
          <w:rPr>
            <w:i/>
            <w:sz w:val="28"/>
            <w:szCs w:val="28"/>
          </w:rPr>
          <w:t>Wilson</w:t>
        </w:r>
      </w:smartTag>
      <w:r>
        <w:rPr>
          <w:i/>
          <w:sz w:val="28"/>
          <w:szCs w:val="28"/>
        </w:rPr>
        <w:t xml:space="preserve">, </w:t>
      </w:r>
      <w:r>
        <w:rPr>
          <w:sz w:val="28"/>
          <w:szCs w:val="28"/>
        </w:rPr>
        <w:t xml:space="preserve">128 </w:t>
      </w:r>
      <w:r w:rsidRPr="000D182A">
        <w:rPr>
          <w:i/>
          <w:sz w:val="28"/>
          <w:szCs w:val="28"/>
        </w:rPr>
        <w:t>N.J.</w:t>
      </w:r>
      <w:r>
        <w:rPr>
          <w:sz w:val="28"/>
          <w:szCs w:val="28"/>
        </w:rPr>
        <w:t xml:space="preserve"> 233 (1992); </w:t>
      </w:r>
      <w:r>
        <w:rPr>
          <w:i/>
          <w:sz w:val="28"/>
          <w:szCs w:val="28"/>
        </w:rPr>
        <w:t xml:space="preserve">State v. </w:t>
      </w:r>
      <w:smartTag w:uri="urn:schemas-microsoft-com:office:smarttags" w:element="place">
        <w:smartTag w:uri="urn:schemas-microsoft-com:office:smarttags" w:element="City">
          <w:r>
            <w:rPr>
              <w:i/>
              <w:sz w:val="28"/>
              <w:szCs w:val="28"/>
            </w:rPr>
            <w:t>Irving</w:t>
          </w:r>
        </w:smartTag>
      </w:smartTag>
      <w:r>
        <w:rPr>
          <w:sz w:val="28"/>
          <w:szCs w:val="28"/>
        </w:rPr>
        <w:t xml:space="preserve">, 114. </w:t>
      </w:r>
      <w:r w:rsidRPr="000D182A">
        <w:rPr>
          <w:i/>
          <w:sz w:val="28"/>
          <w:szCs w:val="28"/>
        </w:rPr>
        <w:t>N.J.</w:t>
      </w:r>
      <w:r>
        <w:rPr>
          <w:sz w:val="28"/>
          <w:szCs w:val="28"/>
        </w:rPr>
        <w:t xml:space="preserve"> 427 (1989);</w:t>
      </w:r>
      <w:r>
        <w:rPr>
          <w:b/>
          <w:sz w:val="28"/>
          <w:szCs w:val="28"/>
        </w:rPr>
        <w:t xml:space="preserve"> </w:t>
      </w:r>
      <w:r>
        <w:rPr>
          <w:i/>
          <w:iCs/>
          <w:sz w:val="28"/>
          <w:szCs w:val="28"/>
        </w:rPr>
        <w:t>State v. Clawans</w:t>
      </w:r>
      <w:r>
        <w:rPr>
          <w:sz w:val="28"/>
          <w:szCs w:val="28"/>
        </w:rPr>
        <w:t xml:space="preserve">, 38 </w:t>
      </w:r>
      <w:r>
        <w:rPr>
          <w:i/>
          <w:iCs/>
          <w:sz w:val="28"/>
          <w:szCs w:val="28"/>
        </w:rPr>
        <w:t>N.J</w:t>
      </w:r>
      <w:r>
        <w:rPr>
          <w:sz w:val="28"/>
          <w:szCs w:val="28"/>
        </w:rPr>
        <w:t xml:space="preserve">. 162 (1962); </w:t>
      </w:r>
      <w:r>
        <w:rPr>
          <w:i/>
          <w:iCs/>
          <w:sz w:val="28"/>
          <w:szCs w:val="28"/>
        </w:rPr>
        <w:t>Michaels v. Brookchester, Inc</w:t>
      </w:r>
      <w:r>
        <w:rPr>
          <w:sz w:val="28"/>
          <w:szCs w:val="28"/>
        </w:rPr>
        <w:t xml:space="preserve">., 26 </w:t>
      </w:r>
      <w:r>
        <w:rPr>
          <w:i/>
          <w:iCs/>
          <w:sz w:val="28"/>
          <w:szCs w:val="28"/>
        </w:rPr>
        <w:t>N.J</w:t>
      </w:r>
      <w:r>
        <w:rPr>
          <w:sz w:val="28"/>
          <w:szCs w:val="28"/>
        </w:rPr>
        <w:t xml:space="preserve">. 379 (1958); </w:t>
      </w:r>
      <w:r>
        <w:rPr>
          <w:i/>
          <w:iCs/>
          <w:sz w:val="28"/>
          <w:szCs w:val="28"/>
        </w:rPr>
        <w:t>O'Neil v. Bilotta</w:t>
      </w:r>
      <w:r>
        <w:rPr>
          <w:sz w:val="28"/>
          <w:szCs w:val="28"/>
        </w:rPr>
        <w:t xml:space="preserve">, 18 </w:t>
      </w:r>
      <w:r>
        <w:rPr>
          <w:i/>
          <w:iCs/>
          <w:sz w:val="28"/>
          <w:szCs w:val="28"/>
        </w:rPr>
        <w:t>N.J</w:t>
      </w:r>
      <w:r>
        <w:rPr>
          <w:sz w:val="28"/>
          <w:szCs w:val="28"/>
        </w:rPr>
        <w:t xml:space="preserve">. </w:t>
      </w:r>
      <w:r>
        <w:rPr>
          <w:i/>
          <w:iCs/>
          <w:sz w:val="28"/>
          <w:szCs w:val="28"/>
        </w:rPr>
        <w:t>Super</w:t>
      </w:r>
      <w:r>
        <w:rPr>
          <w:sz w:val="28"/>
          <w:szCs w:val="28"/>
        </w:rPr>
        <w:t xml:space="preserve">. 82 (App. Div. 1952), </w:t>
      </w:r>
      <w:r w:rsidRPr="000A0368">
        <w:rPr>
          <w:i/>
          <w:sz w:val="28"/>
          <w:szCs w:val="28"/>
        </w:rPr>
        <w:t>aff'd</w:t>
      </w:r>
      <w:r>
        <w:rPr>
          <w:i/>
          <w:sz w:val="28"/>
          <w:szCs w:val="28"/>
        </w:rPr>
        <w:t>.</w:t>
      </w:r>
      <w:r w:rsidRPr="000A0368">
        <w:rPr>
          <w:i/>
          <w:sz w:val="28"/>
          <w:szCs w:val="28"/>
        </w:rPr>
        <w:t xml:space="preserve"> </w:t>
      </w:r>
      <w:r>
        <w:rPr>
          <w:sz w:val="28"/>
          <w:szCs w:val="28"/>
        </w:rPr>
        <w:t xml:space="preserve">10 </w:t>
      </w:r>
      <w:r>
        <w:rPr>
          <w:i/>
          <w:iCs/>
          <w:sz w:val="28"/>
          <w:szCs w:val="28"/>
        </w:rPr>
        <w:t>N.J</w:t>
      </w:r>
      <w:r>
        <w:rPr>
          <w:sz w:val="28"/>
          <w:szCs w:val="28"/>
        </w:rPr>
        <w:t xml:space="preserve">. 308 (1952); </w:t>
      </w:r>
      <w:r>
        <w:rPr>
          <w:i/>
          <w:iCs/>
          <w:sz w:val="28"/>
          <w:szCs w:val="28"/>
        </w:rPr>
        <w:t>Hickman v. Pace</w:t>
      </w:r>
      <w:r>
        <w:rPr>
          <w:sz w:val="28"/>
          <w:szCs w:val="28"/>
        </w:rPr>
        <w:t xml:space="preserve">, 82 </w:t>
      </w:r>
      <w:r>
        <w:rPr>
          <w:i/>
          <w:iCs/>
          <w:sz w:val="28"/>
          <w:szCs w:val="28"/>
        </w:rPr>
        <w:t>N.J</w:t>
      </w:r>
      <w:r>
        <w:rPr>
          <w:sz w:val="28"/>
          <w:szCs w:val="28"/>
        </w:rPr>
        <w:t xml:space="preserve">. </w:t>
      </w:r>
      <w:r>
        <w:rPr>
          <w:i/>
          <w:iCs/>
          <w:sz w:val="28"/>
          <w:szCs w:val="28"/>
        </w:rPr>
        <w:t>Super</w:t>
      </w:r>
      <w:r>
        <w:rPr>
          <w:sz w:val="28"/>
          <w:szCs w:val="28"/>
        </w:rPr>
        <w:t>. 483, 490 (App. Div. 1964).</w:t>
      </w:r>
    </w:p>
    <w:p w:rsidR="000307A0" w:rsidRDefault="000307A0" w:rsidP="000307A0">
      <w:pPr>
        <w:suppressAutoHyphens/>
        <w:rPr>
          <w:sz w:val="28"/>
          <w:szCs w:val="28"/>
        </w:rPr>
      </w:pPr>
    </w:p>
    <w:p w:rsidR="000307A0" w:rsidRDefault="000307A0" w:rsidP="000307A0">
      <w:pPr>
        <w:suppressAutoHyphens/>
        <w:rPr>
          <w:sz w:val="28"/>
          <w:szCs w:val="28"/>
        </w:rPr>
      </w:pPr>
    </w:p>
    <w:p w:rsidR="000307A0" w:rsidRDefault="000307A0" w:rsidP="000307A0">
      <w:pPr>
        <w:keepNext/>
        <w:keepLines/>
        <w:tabs>
          <w:tab w:val="left" w:pos="720"/>
          <w:tab w:val="left" w:pos="1440"/>
        </w:tabs>
        <w:suppressAutoHyphens/>
        <w:ind w:left="1440" w:hanging="720"/>
        <w:jc w:val="both"/>
        <w:rPr>
          <w:b/>
          <w:bCs/>
          <w:sz w:val="28"/>
          <w:szCs w:val="28"/>
        </w:rPr>
      </w:pPr>
      <w:r>
        <w:rPr>
          <w:b/>
          <w:bCs/>
          <w:sz w:val="28"/>
          <w:szCs w:val="28"/>
        </w:rPr>
        <w:t>B.</w:t>
      </w:r>
      <w:r>
        <w:rPr>
          <w:b/>
          <w:bCs/>
          <w:sz w:val="28"/>
          <w:szCs w:val="28"/>
        </w:rPr>
        <w:tab/>
        <w:t xml:space="preserve">Where Judge Has Determined that No Adverse Inference Can Be Drawn </w:t>
      </w:r>
    </w:p>
    <w:p w:rsidR="000307A0" w:rsidRDefault="000307A0" w:rsidP="000307A0">
      <w:pPr>
        <w:pStyle w:val="BodyText"/>
        <w:keepLines/>
        <w:suppressAutoHyphens/>
        <w:spacing w:line="480" w:lineRule="auto"/>
      </w:pPr>
    </w:p>
    <w:p w:rsidR="000307A0" w:rsidRDefault="000307A0" w:rsidP="000307A0">
      <w:pPr>
        <w:pStyle w:val="BodyText"/>
        <w:keepLines/>
        <w:suppressAutoHyphens/>
        <w:spacing w:line="480" w:lineRule="auto"/>
      </w:pPr>
      <w:r>
        <w:tab/>
        <w:t>During the course of this trial reference has been made to _____________.  I have determined that the non-production of __________________ as a witness is excusable as a matter of law.  Therefore, you should not speculate as to what his testimony would be had he/she been called to testify.  Nor may you draw any inferences against or in favor of either party from his/her failure to testify.</w:t>
      </w:r>
    </w:p>
    <w:p w:rsidR="000307A0" w:rsidRDefault="000307A0" w:rsidP="000307A0">
      <w:pPr>
        <w:suppressAutoHyphens/>
        <w:spacing w:line="480" w:lineRule="atLeast"/>
        <w:jc w:val="center"/>
        <w:rPr>
          <w:b/>
          <w:bCs/>
          <w:sz w:val="28"/>
          <w:szCs w:val="28"/>
        </w:rPr>
      </w:pPr>
      <w:r>
        <w:rPr>
          <w:b/>
          <w:bCs/>
          <w:i/>
          <w:iCs/>
          <w:sz w:val="28"/>
          <w:szCs w:val="28"/>
        </w:rPr>
        <w:t>Comments</w:t>
      </w:r>
      <w:r>
        <w:rPr>
          <w:b/>
          <w:bCs/>
          <w:sz w:val="28"/>
          <w:szCs w:val="28"/>
        </w:rPr>
        <w:t>:</w:t>
      </w:r>
    </w:p>
    <w:p w:rsidR="000307A0" w:rsidRDefault="000307A0" w:rsidP="000307A0">
      <w:pPr>
        <w:suppressAutoHyphens/>
        <w:jc w:val="both"/>
        <w:rPr>
          <w:sz w:val="28"/>
          <w:szCs w:val="28"/>
        </w:rPr>
      </w:pPr>
    </w:p>
    <w:p w:rsidR="000307A0" w:rsidRDefault="000307A0" w:rsidP="000307A0">
      <w:pPr>
        <w:suppressAutoHyphens/>
        <w:ind w:left="720" w:right="720"/>
        <w:jc w:val="both"/>
        <w:rPr>
          <w:sz w:val="28"/>
          <w:szCs w:val="28"/>
        </w:rPr>
      </w:pPr>
      <w:r>
        <w:rPr>
          <w:sz w:val="28"/>
          <w:szCs w:val="28"/>
        </w:rPr>
        <w:t xml:space="preserve">In </w:t>
      </w:r>
      <w:r>
        <w:rPr>
          <w:i/>
          <w:iCs/>
          <w:sz w:val="28"/>
          <w:szCs w:val="28"/>
        </w:rPr>
        <w:t>Wild v. Roman</w:t>
      </w:r>
      <w:r>
        <w:rPr>
          <w:sz w:val="28"/>
          <w:szCs w:val="28"/>
        </w:rPr>
        <w:t xml:space="preserve">, 91 </w:t>
      </w:r>
      <w:r>
        <w:rPr>
          <w:i/>
          <w:iCs/>
          <w:sz w:val="28"/>
          <w:szCs w:val="28"/>
        </w:rPr>
        <w:t>N.J</w:t>
      </w:r>
      <w:r>
        <w:rPr>
          <w:sz w:val="28"/>
          <w:szCs w:val="28"/>
        </w:rPr>
        <w:t xml:space="preserve">. </w:t>
      </w:r>
      <w:r>
        <w:rPr>
          <w:i/>
          <w:iCs/>
          <w:sz w:val="28"/>
          <w:szCs w:val="28"/>
        </w:rPr>
        <w:t>Super</w:t>
      </w:r>
      <w:r>
        <w:rPr>
          <w:sz w:val="28"/>
          <w:szCs w:val="28"/>
        </w:rPr>
        <w:t>. 410, 416 (App. Div. 1966) it was said that it is "nearly always for the judge alone to decide" whether the circumstances warrant an adverse inference or an inference of no material aid to a party's case.  The court said that it is rare that a factual dispute as to the factors involved should be left for the jury.  Obviously, the court must first determine whether or not to give an adverse inference charge as to a designated absent witness and whether the charge of "no material aid" (</w:t>
      </w:r>
      <w:r>
        <w:rPr>
          <w:i/>
          <w:sz w:val="28"/>
          <w:szCs w:val="28"/>
        </w:rPr>
        <w:t>s</w:t>
      </w:r>
      <w:r w:rsidRPr="00B22ED4">
        <w:rPr>
          <w:i/>
          <w:sz w:val="28"/>
          <w:szCs w:val="28"/>
        </w:rPr>
        <w:t>ee</w:t>
      </w:r>
      <w:r>
        <w:rPr>
          <w:sz w:val="28"/>
          <w:szCs w:val="28"/>
        </w:rPr>
        <w:t xml:space="preserve"> </w:t>
      </w:r>
      <w:r>
        <w:rPr>
          <w:i/>
          <w:iCs/>
          <w:sz w:val="28"/>
          <w:szCs w:val="28"/>
        </w:rPr>
        <w:t>Parentini</w:t>
      </w:r>
      <w:r>
        <w:rPr>
          <w:sz w:val="28"/>
          <w:szCs w:val="28"/>
        </w:rPr>
        <w:t xml:space="preserve">, </w:t>
      </w:r>
      <w:r>
        <w:rPr>
          <w:i/>
          <w:iCs/>
          <w:sz w:val="28"/>
          <w:szCs w:val="28"/>
        </w:rPr>
        <w:t>supra</w:t>
      </w:r>
      <w:r>
        <w:rPr>
          <w:sz w:val="28"/>
          <w:szCs w:val="28"/>
        </w:rPr>
        <w:t>) should be given.</w:t>
      </w:r>
    </w:p>
    <w:p w:rsidR="000307A0" w:rsidRDefault="000307A0" w:rsidP="000307A0">
      <w:pPr>
        <w:suppressAutoHyphens/>
        <w:ind w:left="720" w:right="720"/>
        <w:jc w:val="both"/>
        <w:rPr>
          <w:sz w:val="28"/>
          <w:szCs w:val="28"/>
        </w:rPr>
      </w:pPr>
    </w:p>
    <w:p w:rsidR="000307A0" w:rsidRDefault="000307A0" w:rsidP="000307A0">
      <w:pPr>
        <w:suppressAutoHyphens/>
        <w:ind w:left="720" w:right="720"/>
        <w:jc w:val="both"/>
        <w:rPr>
          <w:b/>
          <w:bCs/>
          <w:sz w:val="28"/>
          <w:szCs w:val="28"/>
        </w:rPr>
      </w:pPr>
      <w:r>
        <w:rPr>
          <w:sz w:val="28"/>
          <w:szCs w:val="28"/>
        </w:rPr>
        <w:tab/>
      </w:r>
      <w:r>
        <w:rPr>
          <w:b/>
          <w:bCs/>
          <w:sz w:val="28"/>
          <w:szCs w:val="28"/>
        </w:rPr>
        <w:t>C.</w:t>
      </w:r>
      <w:r>
        <w:rPr>
          <w:b/>
          <w:bCs/>
          <w:sz w:val="28"/>
          <w:szCs w:val="28"/>
        </w:rPr>
        <w:tab/>
        <w:t xml:space="preserve">Where Testimony is Not of Material Aid </w:t>
      </w:r>
    </w:p>
    <w:p w:rsidR="000307A0" w:rsidRDefault="000307A0" w:rsidP="000307A0">
      <w:pPr>
        <w:suppressAutoHyphens/>
        <w:spacing w:line="480" w:lineRule="atLeast"/>
        <w:rPr>
          <w:b/>
          <w:sz w:val="28"/>
          <w:szCs w:val="28"/>
        </w:rPr>
      </w:pPr>
    </w:p>
    <w:p w:rsidR="000307A0" w:rsidRDefault="000307A0" w:rsidP="000307A0">
      <w:pPr>
        <w:suppressAutoHyphens/>
        <w:spacing w:line="480" w:lineRule="auto"/>
        <w:jc w:val="both"/>
        <w:rPr>
          <w:sz w:val="28"/>
          <w:szCs w:val="28"/>
        </w:rPr>
      </w:pPr>
      <w:r>
        <w:rPr>
          <w:sz w:val="28"/>
          <w:szCs w:val="28"/>
        </w:rPr>
        <w:tab/>
        <w:t>From the testimony it would appear that ___________________ is a person who has information relative to the issues involved, and that the plaintiff/defendant has failed to call him/her as a witness.  The failure of a party to produce as a witness a person whom that party would naturally be expected to call does not necessarily permit the inference that the testimony of that witness would have been unfavorable to that party.</w:t>
      </w:r>
    </w:p>
    <w:p w:rsidR="000307A0" w:rsidRDefault="000307A0" w:rsidP="000307A0">
      <w:pPr>
        <w:suppressAutoHyphens/>
        <w:spacing w:line="480" w:lineRule="auto"/>
        <w:ind w:firstLine="720"/>
        <w:jc w:val="both"/>
        <w:rPr>
          <w:sz w:val="28"/>
          <w:szCs w:val="28"/>
        </w:rPr>
      </w:pPr>
      <w:r>
        <w:rPr>
          <w:sz w:val="28"/>
          <w:szCs w:val="28"/>
        </w:rPr>
        <w:t>In the circumstances of this case, however, you may infer that this witness would not have specifically contradicted the testimony of witnesses called by the plaintiff/defendant and that the testimony of the absent witness would not have materially aided plaintiff/defendant's case.</w:t>
      </w:r>
    </w:p>
    <w:p w:rsidR="000307A0" w:rsidRDefault="000307A0" w:rsidP="000307A0">
      <w:pPr>
        <w:suppressAutoHyphens/>
        <w:spacing w:line="480" w:lineRule="atLeast"/>
        <w:jc w:val="center"/>
        <w:rPr>
          <w:sz w:val="28"/>
          <w:szCs w:val="28"/>
        </w:rPr>
      </w:pPr>
      <w:r>
        <w:rPr>
          <w:b/>
          <w:bCs/>
          <w:i/>
          <w:iCs/>
          <w:sz w:val="28"/>
          <w:szCs w:val="28"/>
        </w:rPr>
        <w:t>Comments</w:t>
      </w:r>
      <w:r>
        <w:rPr>
          <w:b/>
          <w:bCs/>
          <w:sz w:val="28"/>
          <w:szCs w:val="28"/>
        </w:rPr>
        <w:t>:</w:t>
      </w:r>
    </w:p>
    <w:p w:rsidR="000307A0" w:rsidRDefault="000307A0" w:rsidP="000307A0">
      <w:pPr>
        <w:suppressAutoHyphens/>
        <w:rPr>
          <w:sz w:val="28"/>
          <w:szCs w:val="28"/>
        </w:rPr>
      </w:pPr>
    </w:p>
    <w:p w:rsidR="000307A0" w:rsidRDefault="000307A0" w:rsidP="000307A0">
      <w:pPr>
        <w:suppressAutoHyphens/>
        <w:ind w:left="720" w:right="720"/>
        <w:jc w:val="both"/>
        <w:rPr>
          <w:sz w:val="28"/>
        </w:rPr>
      </w:pPr>
      <w:r>
        <w:rPr>
          <w:sz w:val="28"/>
          <w:szCs w:val="28"/>
        </w:rPr>
        <w:t xml:space="preserve">In </w:t>
      </w:r>
      <w:r>
        <w:rPr>
          <w:i/>
          <w:iCs/>
          <w:sz w:val="28"/>
          <w:szCs w:val="28"/>
        </w:rPr>
        <w:t>Parentini v. S. Klein Dept. Stores</w:t>
      </w:r>
      <w:r>
        <w:rPr>
          <w:sz w:val="28"/>
          <w:szCs w:val="28"/>
        </w:rPr>
        <w:t xml:space="preserve">, 94 </w:t>
      </w:r>
      <w:r>
        <w:rPr>
          <w:i/>
          <w:iCs/>
          <w:sz w:val="28"/>
          <w:szCs w:val="28"/>
        </w:rPr>
        <w:t>N.J</w:t>
      </w:r>
      <w:r>
        <w:rPr>
          <w:sz w:val="28"/>
          <w:szCs w:val="28"/>
        </w:rPr>
        <w:t xml:space="preserve">. </w:t>
      </w:r>
      <w:r>
        <w:rPr>
          <w:i/>
          <w:iCs/>
          <w:sz w:val="28"/>
          <w:szCs w:val="28"/>
        </w:rPr>
        <w:t>Super</w:t>
      </w:r>
      <w:r>
        <w:rPr>
          <w:sz w:val="28"/>
          <w:szCs w:val="28"/>
        </w:rPr>
        <w:t>. 452 (App. Div. 1967), a false imprisonment case, plaintiff produced two doctors who testified as to the causal relation between the episode and the psychiatric condition of plaintiff and as to permanency.  Defendant’s neurologist examined plaintiff but was not called.  Defendant offered no medical testimony.  The court held that the adverse inference charge given against defendant was given in error because there was no basis for an assumption that the non-testifying doctor would have favored or materially aided either side.</w:t>
      </w:r>
    </w:p>
    <w:p w:rsidR="009A6F86" w:rsidRDefault="009A6F86">
      <w:pPr>
        <w:tabs>
          <w:tab w:val="left" w:pos="720"/>
          <w:tab w:val="left" w:pos="1440"/>
        </w:tabs>
        <w:ind w:left="1440" w:hanging="1440"/>
        <w:jc w:val="both"/>
        <w:rPr>
          <w:sz w:val="28"/>
          <w:szCs w:val="28"/>
        </w:rPr>
      </w:pPr>
    </w:p>
    <w:sectPr w:rsidR="009A6F86" w:rsidSect="000A257A">
      <w:headerReference w:type="default" r:id="rId7"/>
      <w:type w:val="continuous"/>
      <w:pgSz w:w="12240" w:h="15840" w:code="1"/>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478" w:rsidRDefault="003B6478">
      <w:r>
        <w:separator/>
      </w:r>
    </w:p>
  </w:endnote>
  <w:endnote w:type="continuationSeparator" w:id="0">
    <w:p w:rsidR="003B6478" w:rsidRDefault="003B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478" w:rsidRDefault="003B6478">
      <w:r>
        <w:separator/>
      </w:r>
    </w:p>
  </w:footnote>
  <w:footnote w:type="continuationSeparator" w:id="0">
    <w:p w:rsidR="003B6478" w:rsidRDefault="003B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478" w:rsidRDefault="003B6478">
    <w:pPr>
      <w:pStyle w:val="Header"/>
      <w:jc w:val="right"/>
      <w:rPr>
        <w:b/>
        <w:bCs/>
        <w:sz w:val="28"/>
      </w:rPr>
    </w:pPr>
    <w:r>
      <w:rPr>
        <w:b/>
        <w:bCs/>
        <w:sz w:val="28"/>
      </w:rPr>
      <w:t xml:space="preserve">CHARGE 1.18 </w:t>
    </w:r>
    <w:r>
      <w:rPr>
        <w:b/>
        <w:bCs/>
        <w:sz w:val="28"/>
      </w:rPr>
      <w:sym w:font="Symbol" w:char="F0BE"/>
    </w:r>
    <w:r>
      <w:rPr>
        <w:b/>
        <w:bCs/>
        <w:sz w:val="28"/>
      </w:rPr>
      <w:t xml:space="preserve"> Page </w:t>
    </w:r>
    <w:r>
      <w:rPr>
        <w:b/>
        <w:bCs/>
        <w:sz w:val="28"/>
      </w:rPr>
      <w:fldChar w:fldCharType="begin"/>
    </w:r>
    <w:r>
      <w:rPr>
        <w:b/>
        <w:bCs/>
        <w:sz w:val="28"/>
      </w:rPr>
      <w:instrText xml:space="preserve"> PAGE </w:instrText>
    </w:r>
    <w:r>
      <w:rPr>
        <w:b/>
        <w:bCs/>
        <w:sz w:val="28"/>
      </w:rPr>
      <w:fldChar w:fldCharType="separate"/>
    </w:r>
    <w:r w:rsidR="000144B2">
      <w:rPr>
        <w:b/>
        <w:bCs/>
        <w:noProof/>
        <w:sz w:val="28"/>
      </w:rPr>
      <w:t>1</w:t>
    </w:r>
    <w:r>
      <w:rPr>
        <w:b/>
        <w:bCs/>
        <w:sz w:val="28"/>
      </w:rPr>
      <w:fldChar w:fldCharType="end"/>
    </w:r>
    <w:r>
      <w:rPr>
        <w:b/>
        <w:bCs/>
        <w:sz w:val="28"/>
      </w:rPr>
      <w:t xml:space="preserve"> of </w:t>
    </w:r>
    <w:r>
      <w:rPr>
        <w:b/>
        <w:bCs/>
        <w:sz w:val="28"/>
      </w:rPr>
      <w:fldChar w:fldCharType="begin"/>
    </w:r>
    <w:r>
      <w:rPr>
        <w:b/>
        <w:bCs/>
        <w:sz w:val="28"/>
      </w:rPr>
      <w:instrText xml:space="preserve"> NUMPAGES </w:instrText>
    </w:r>
    <w:r>
      <w:rPr>
        <w:b/>
        <w:bCs/>
        <w:sz w:val="28"/>
      </w:rPr>
      <w:fldChar w:fldCharType="separate"/>
    </w:r>
    <w:r w:rsidR="000144B2">
      <w:rPr>
        <w:b/>
        <w:bCs/>
        <w:noProof/>
        <w:sz w:val="28"/>
      </w:rPr>
      <w:t>4</w:t>
    </w:r>
    <w:r>
      <w:rPr>
        <w:b/>
        <w:bCs/>
        <w:sz w:val="28"/>
      </w:rPr>
      <w:fldChar w:fldCharType="end"/>
    </w:r>
  </w:p>
  <w:p w:rsidR="003B6478" w:rsidRDefault="003B6478">
    <w:pPr>
      <w:pStyle w:val="Header"/>
      <w:jc w:val="right"/>
      <w:rPr>
        <w:sz w:val="28"/>
      </w:rPr>
    </w:pPr>
  </w:p>
  <w:p w:rsidR="003B6478" w:rsidRDefault="003B6478">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D3B05"/>
    <w:multiLevelType w:val="hybridMultilevel"/>
    <w:tmpl w:val="A17EE052"/>
    <w:lvl w:ilvl="0" w:tplc="4F90B2B0">
      <w:start w:val="2"/>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74C508C"/>
    <w:multiLevelType w:val="hybridMultilevel"/>
    <w:tmpl w:val="62165F34"/>
    <w:lvl w:ilvl="0" w:tplc="1460FA6A">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9821FE2"/>
    <w:multiLevelType w:val="hybridMultilevel"/>
    <w:tmpl w:val="5372D6C0"/>
    <w:lvl w:ilvl="0" w:tplc="A04E571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8"/>
    <w:rsid w:val="00000FC9"/>
    <w:rsid w:val="00005A04"/>
    <w:rsid w:val="000144B2"/>
    <w:rsid w:val="000307A0"/>
    <w:rsid w:val="000A0368"/>
    <w:rsid w:val="000A257A"/>
    <w:rsid w:val="000B395D"/>
    <w:rsid w:val="000C7BA9"/>
    <w:rsid w:val="000D182A"/>
    <w:rsid w:val="00105FAE"/>
    <w:rsid w:val="0011096E"/>
    <w:rsid w:val="001404FA"/>
    <w:rsid w:val="00152CE7"/>
    <w:rsid w:val="001A2FEE"/>
    <w:rsid w:val="001B01E6"/>
    <w:rsid w:val="001D044B"/>
    <w:rsid w:val="001F1204"/>
    <w:rsid w:val="001F2F6C"/>
    <w:rsid w:val="001F51F3"/>
    <w:rsid w:val="00284D12"/>
    <w:rsid w:val="00286708"/>
    <w:rsid w:val="002A5E83"/>
    <w:rsid w:val="002C593F"/>
    <w:rsid w:val="002D2F67"/>
    <w:rsid w:val="002E112B"/>
    <w:rsid w:val="003208D7"/>
    <w:rsid w:val="00357E5A"/>
    <w:rsid w:val="003B6478"/>
    <w:rsid w:val="003C6D17"/>
    <w:rsid w:val="00403CF8"/>
    <w:rsid w:val="00416FCD"/>
    <w:rsid w:val="00460FFD"/>
    <w:rsid w:val="0050062C"/>
    <w:rsid w:val="00534BB4"/>
    <w:rsid w:val="00594969"/>
    <w:rsid w:val="005A5ED9"/>
    <w:rsid w:val="005D5FD3"/>
    <w:rsid w:val="005E7790"/>
    <w:rsid w:val="0066015F"/>
    <w:rsid w:val="00677820"/>
    <w:rsid w:val="00695ECB"/>
    <w:rsid w:val="006B6BE9"/>
    <w:rsid w:val="006E2785"/>
    <w:rsid w:val="006F4A26"/>
    <w:rsid w:val="00710C9D"/>
    <w:rsid w:val="00731756"/>
    <w:rsid w:val="00754D83"/>
    <w:rsid w:val="0076271D"/>
    <w:rsid w:val="00765CFD"/>
    <w:rsid w:val="007A3D02"/>
    <w:rsid w:val="007E0C4B"/>
    <w:rsid w:val="0080222B"/>
    <w:rsid w:val="00817F95"/>
    <w:rsid w:val="008334B1"/>
    <w:rsid w:val="008F2254"/>
    <w:rsid w:val="008F4CE5"/>
    <w:rsid w:val="009635B5"/>
    <w:rsid w:val="009A6F86"/>
    <w:rsid w:val="00A06424"/>
    <w:rsid w:val="00A41F27"/>
    <w:rsid w:val="00A51C40"/>
    <w:rsid w:val="00A652E5"/>
    <w:rsid w:val="00A83AA2"/>
    <w:rsid w:val="00AC10AB"/>
    <w:rsid w:val="00AE25A9"/>
    <w:rsid w:val="00AE3767"/>
    <w:rsid w:val="00B216E4"/>
    <w:rsid w:val="00B22ED4"/>
    <w:rsid w:val="00B332F8"/>
    <w:rsid w:val="00B34514"/>
    <w:rsid w:val="00B44368"/>
    <w:rsid w:val="00B44B49"/>
    <w:rsid w:val="00B55416"/>
    <w:rsid w:val="00BC579E"/>
    <w:rsid w:val="00BF0078"/>
    <w:rsid w:val="00D21257"/>
    <w:rsid w:val="00D2217C"/>
    <w:rsid w:val="00D83C85"/>
    <w:rsid w:val="00D949E3"/>
    <w:rsid w:val="00D97AB9"/>
    <w:rsid w:val="00DC13E1"/>
    <w:rsid w:val="00DC1C52"/>
    <w:rsid w:val="00E43DB3"/>
    <w:rsid w:val="00E8269D"/>
    <w:rsid w:val="00EC0CAF"/>
    <w:rsid w:val="00ED0EF3"/>
    <w:rsid w:val="00EF682C"/>
    <w:rsid w:val="00F15F40"/>
    <w:rsid w:val="00F25DCB"/>
    <w:rsid w:val="00F36E69"/>
    <w:rsid w:val="00F428D2"/>
    <w:rsid w:val="00F76803"/>
    <w:rsid w:val="00FC75D5"/>
    <w:rsid w:val="00FF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37D2D4C-4961-421C-B2F3-8615EABF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93F"/>
    <w:rPr>
      <w:sz w:val="24"/>
      <w:szCs w:val="24"/>
    </w:rPr>
  </w:style>
  <w:style w:type="paragraph" w:styleId="Heading1">
    <w:name w:val="heading 1"/>
    <w:basedOn w:val="Normal"/>
    <w:next w:val="Normal"/>
    <w:qFormat/>
    <w:pPr>
      <w:keepNext/>
      <w:outlineLvl w:val="0"/>
    </w:pPr>
    <w:rPr>
      <w:rFonts w:cs="Arial"/>
      <w:b/>
      <w:bCs/>
      <w:sz w:val="28"/>
      <w:szCs w:val="32"/>
    </w:rPr>
  </w:style>
  <w:style w:type="paragraph" w:styleId="Heading2">
    <w:name w:val="heading 2"/>
    <w:basedOn w:val="Normal"/>
    <w:next w:val="Normal"/>
    <w:qFormat/>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640"/>
      </w:tabs>
    </w:pPr>
  </w:style>
  <w:style w:type="paragraph" w:styleId="Footer">
    <w:name w:val="footer"/>
    <w:basedOn w:val="Normal"/>
    <w:pPr>
      <w:tabs>
        <w:tab w:val="center" w:pos="4320"/>
        <w:tab w:val="right" w:pos="8640"/>
      </w:tabs>
    </w:pPr>
  </w:style>
  <w:style w:type="paragraph" w:customStyle="1" w:styleId="mcjmchgpageheading">
    <w:name w:val="mcjm chg page heading"/>
    <w:basedOn w:val="Normal"/>
    <w:pPr>
      <w:widowControl w:val="0"/>
      <w:autoSpaceDE w:val="0"/>
      <w:autoSpaceDN w:val="0"/>
      <w:adjustRightInd w:val="0"/>
      <w:spacing w:line="480" w:lineRule="auto"/>
      <w:jc w:val="right"/>
    </w:pPr>
    <w:rPr>
      <w:sz w:val="28"/>
      <w:szCs w:val="28"/>
    </w:rPr>
  </w:style>
  <w:style w:type="paragraph" w:styleId="BodyTextIndent">
    <w:name w:val="Body Text Indent"/>
    <w:basedOn w:val="Normal"/>
    <w:pPr>
      <w:tabs>
        <w:tab w:val="left" w:pos="720"/>
        <w:tab w:val="left" w:pos="1440"/>
      </w:tabs>
      <w:ind w:left="1440" w:hanging="720"/>
      <w:jc w:val="both"/>
    </w:pPr>
    <w:rPr>
      <w:sz w:val="28"/>
      <w:szCs w:val="28"/>
    </w:rPr>
  </w:style>
  <w:style w:type="paragraph" w:styleId="BodyText">
    <w:name w:val="Body Text"/>
    <w:basedOn w:val="Normal"/>
    <w:pPr>
      <w:jc w:val="both"/>
    </w:pPr>
    <w:rPr>
      <w:sz w:val="28"/>
      <w:szCs w:val="28"/>
    </w:rPr>
  </w:style>
  <w:style w:type="paragraph" w:styleId="BalloonText">
    <w:name w:val="Balloon Text"/>
    <w:basedOn w:val="Normal"/>
    <w:semiHidden/>
    <w:rsid w:val="00F428D2"/>
    <w:rPr>
      <w:rFonts w:ascii="Tahoma" w:hAnsi="Tahoma" w:cs="Tahoma"/>
      <w:sz w:val="16"/>
      <w:szCs w:val="16"/>
    </w:rPr>
  </w:style>
  <w:style w:type="paragraph" w:styleId="FootnoteText">
    <w:name w:val="footnote text"/>
    <w:basedOn w:val="Normal"/>
    <w:semiHidden/>
    <w:rsid w:val="001D044B"/>
    <w:rPr>
      <w:sz w:val="20"/>
      <w:szCs w:val="20"/>
    </w:rPr>
  </w:style>
  <w:style w:type="character" w:styleId="FootnoteReference">
    <w:name w:val="footnote reference"/>
    <w:basedOn w:val="DefaultParagraphFont"/>
    <w:semiHidden/>
    <w:rsid w:val="001D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nette.Lind\Application%20Data\Microsoft\Templates\Civil\mc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mcjc</Template>
  <TotalTime>0</TotalTime>
  <Pages>4</Pages>
  <Words>868</Words>
  <Characters>4348</Characters>
  <Application>Microsoft Office Word</Application>
  <DocSecurity>4</DocSecurity>
  <Lines>92</Lines>
  <Paragraphs>22</Paragraphs>
  <ScaleCrop>false</ScaleCrop>
  <HeadingPairs>
    <vt:vector size="2" baseType="variant">
      <vt:variant>
        <vt:lpstr>Title</vt:lpstr>
      </vt:variant>
      <vt:variant>
        <vt:i4>1</vt:i4>
      </vt:variant>
    </vt:vector>
  </HeadingPairs>
  <TitlesOfParts>
    <vt:vector size="1" baseType="lpstr">
      <vt:lpstr>Counsel</vt:lpstr>
    </vt:vector>
  </TitlesOfParts>
  <Company>Civil Practice</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dc:title>
  <dc:subject>99997/1</dc:subject>
  <dc:creator>Michael T.G. Long</dc:creator>
  <cp:keywords>Tel   973 422 6726   Fax   973 422 6727</cp:keywords>
  <dc:description>MLONG@LOWENSTEIN.COM</dc:description>
  <cp:lastModifiedBy>Marian Green</cp:lastModifiedBy>
  <cp:revision>2</cp:revision>
  <cp:lastPrinted>2016-07-18T15:19:00Z</cp:lastPrinted>
  <dcterms:created xsi:type="dcterms:W3CDTF">2017-03-30T13:58:00Z</dcterms:created>
  <dcterms:modified xsi:type="dcterms:W3CDTF">2017-03-30T13:58:00Z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SAuthor">
    <vt:lpwstr>Michael T.G. Long</vt:lpwstr>
  </property>
  <property fmtid="{D5CDD505-2E9C-101B-9397-08002B2CF9AE}" pid="3" name="LSTitle">
    <vt:lpwstr>Counsel</vt:lpwstr>
  </property>
  <property fmtid="{D5CDD505-2E9C-101B-9397-08002B2CF9AE}" pid="4" name="LSPhone">
    <vt:lpwstr>973 422 6726</vt:lpwstr>
  </property>
  <property fmtid="{D5CDD505-2E9C-101B-9397-08002B2CF9AE}" pid="5" name="LSFax">
    <vt:lpwstr>973 422 6727</vt:lpwstr>
  </property>
  <property fmtid="{D5CDD505-2E9C-101B-9397-08002B2CF9AE}" pid="6" name="LSEmail">
    <vt:lpwstr>mlong@lowenstein.com</vt:lpwstr>
  </property>
  <property fmtid="{D5CDD505-2E9C-101B-9397-08002B2CF9AE}" pid="7" name="LSCLIENT">
    <vt:lpwstr>99997</vt:lpwstr>
  </property>
  <property fmtid="{D5CDD505-2E9C-101B-9397-08002B2CF9AE}" pid="8" name="LSMATTER">
    <vt:lpwstr>1</vt:lpwstr>
  </property>
  <property fmtid="{D5CDD505-2E9C-101B-9397-08002B2CF9AE}" pid="9" name="LSTypist">
    <vt:lpwstr>PORR3327</vt:lpwstr>
  </property>
  <property fmtid="{D5CDD505-2E9C-101B-9397-08002B2CF9AE}" pid="10" name="DocNo">
    <vt:lpwstr>17226086</vt:lpwstr>
  </property>
  <property fmtid="{D5CDD505-2E9C-101B-9397-08002B2CF9AE}" pid="11" name="DocVer">
    <vt:lpwstr>7</vt:lpwstr>
  </property>
</Properties>
</file>