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995" w:rsidRPr="00E75AEA" w:rsidRDefault="00ED6CD5" w:rsidP="00796E58">
      <w:pPr>
        <w:pStyle w:val="BodyTextIndent"/>
        <w:widowControl/>
        <w:spacing w:after="0" w:line="240" w:lineRule="auto"/>
        <w:rPr>
          <w:b w:val="0"/>
        </w:rPr>
      </w:pPr>
      <w:bookmarkStart w:id="0" w:name="_GoBack"/>
      <w:bookmarkEnd w:id="0"/>
      <w:r w:rsidRPr="00E75AEA">
        <w:t>2.</w:t>
      </w:r>
      <w:r w:rsidR="009975ED" w:rsidRPr="00E75AEA">
        <w:t>24A</w:t>
      </w:r>
      <w:r w:rsidR="00092995" w:rsidRPr="00E75AEA">
        <w:tab/>
      </w:r>
      <w:r w:rsidR="006B59B4" w:rsidRPr="00E75AEA">
        <w:tab/>
      </w:r>
      <w:r w:rsidR="004F19CE" w:rsidRPr="00E75AEA">
        <w:t xml:space="preserve">NEW JERSEY </w:t>
      </w:r>
      <w:r w:rsidR="00E04D89" w:rsidRPr="00E75AEA">
        <w:rPr>
          <w:caps/>
        </w:rPr>
        <w:t>equal pay</w:t>
      </w:r>
      <w:r w:rsidR="00092995" w:rsidRPr="00E75AEA">
        <w:rPr>
          <w:caps/>
        </w:rPr>
        <w:t xml:space="preserve"> </w:t>
      </w:r>
      <w:r w:rsidR="004F19CE" w:rsidRPr="00E75AEA">
        <w:rPr>
          <w:caps/>
        </w:rPr>
        <w:t>ACT</w:t>
      </w:r>
      <w:r w:rsidR="00092995" w:rsidRPr="00E75AEA">
        <w:t xml:space="preserve"> </w:t>
      </w:r>
      <w:r w:rsidR="00092995" w:rsidRPr="00E75AEA">
        <w:rPr>
          <w:b w:val="0"/>
        </w:rPr>
        <w:t xml:space="preserve">(Approved </w:t>
      </w:r>
      <w:r w:rsidR="009975ED" w:rsidRPr="00E75AEA">
        <w:rPr>
          <w:b w:val="0"/>
        </w:rPr>
        <w:t>03</w:t>
      </w:r>
      <w:r w:rsidR="00E04D89" w:rsidRPr="00E75AEA">
        <w:rPr>
          <w:b w:val="0"/>
        </w:rPr>
        <w:t>/201</w:t>
      </w:r>
      <w:r w:rsidR="002D4412" w:rsidRPr="00E75AEA">
        <w:rPr>
          <w:b w:val="0"/>
        </w:rPr>
        <w:t>9</w:t>
      </w:r>
      <w:r w:rsidR="00963AA2" w:rsidRPr="00E75AEA">
        <w:rPr>
          <w:b w:val="0"/>
        </w:rPr>
        <w:t>; revised 11/2019</w:t>
      </w:r>
      <w:r w:rsidR="00092995" w:rsidRPr="00E75AEA">
        <w:rPr>
          <w:b w:val="0"/>
        </w:rPr>
        <w:t>)</w:t>
      </w:r>
    </w:p>
    <w:p w:rsidR="00796E58" w:rsidRPr="00E75AEA" w:rsidRDefault="00796E58" w:rsidP="00796E58">
      <w:pPr>
        <w:pStyle w:val="BodyTextIndent"/>
        <w:widowControl/>
        <w:spacing w:after="0" w:line="240" w:lineRule="auto"/>
      </w:pPr>
    </w:p>
    <w:p w:rsidR="00A519EE" w:rsidRPr="00E75AEA" w:rsidRDefault="009975ED" w:rsidP="00796E58">
      <w:pPr>
        <w:widowControl/>
        <w:tabs>
          <w:tab w:val="left" w:pos="-720"/>
          <w:tab w:val="left" w:pos="0"/>
        </w:tabs>
        <w:spacing w:line="480" w:lineRule="auto"/>
        <w:jc w:val="center"/>
        <w:rPr>
          <w:b/>
          <w:spacing w:val="-3"/>
        </w:rPr>
      </w:pPr>
      <w:r w:rsidRPr="00E75AEA">
        <w:rPr>
          <w:b/>
          <w:i/>
          <w:spacing w:val="-3"/>
        </w:rPr>
        <w:t>NOTE TO JUDGE</w:t>
      </w:r>
    </w:p>
    <w:p w:rsidR="00D9275E" w:rsidRPr="00E75AEA" w:rsidRDefault="00F43985" w:rsidP="00796E58">
      <w:pPr>
        <w:widowControl/>
        <w:ind w:left="720" w:right="720"/>
        <w:jc w:val="both"/>
        <w:rPr>
          <w:shd w:val="clear" w:color="auto" w:fill="FFFFFF"/>
        </w:rPr>
      </w:pPr>
      <w:r w:rsidRPr="00E75AEA">
        <w:rPr>
          <w:spacing w:val="-3"/>
        </w:rPr>
        <w:t xml:space="preserve">This charge is intended for claims of unequal pay brought under the Diane B. Allen Equal Pay Act (New Jersey Equal Pay Act), </w:t>
      </w:r>
      <w:r w:rsidRPr="00E75AEA">
        <w:rPr>
          <w:i/>
          <w:iCs/>
          <w:shd w:val="clear" w:color="auto" w:fill="FFFFFF"/>
        </w:rPr>
        <w:t>N.J.S.A.</w:t>
      </w:r>
      <w:r w:rsidRPr="00E75AEA">
        <w:rPr>
          <w:shd w:val="clear" w:color="auto" w:fill="FFFFFF"/>
        </w:rPr>
        <w:t xml:space="preserve"> 10:5-12(t), </w:t>
      </w:r>
      <w:r w:rsidRPr="00E75AEA">
        <w:rPr>
          <w:spacing w:val="-3"/>
        </w:rPr>
        <w:t>which makes it unlawful “[f]or</w:t>
      </w:r>
      <w:r w:rsidRPr="00E75AEA">
        <w:rPr>
          <w:shd w:val="clear" w:color="auto" w:fill="FFFFFF"/>
        </w:rPr>
        <w:t xml:space="preserve"> an employer to pay any of its employees who is a member of a protected class at a rate of compensation, including benefits, which is less than the rate paid by the employer to employees who are not members of the protected class for substantially similar work, when viewed as a composite of skill, effort and responsibility.” </w:t>
      </w:r>
      <w:r w:rsidRPr="00E75AEA">
        <w:rPr>
          <w:i/>
          <w:iCs/>
          <w:shd w:val="clear" w:color="auto" w:fill="FFFFFF"/>
        </w:rPr>
        <w:t>Ibid</w:t>
      </w:r>
      <w:r w:rsidRPr="00E75AEA">
        <w:rPr>
          <w:shd w:val="clear" w:color="auto" w:fill="FFFFFF"/>
        </w:rPr>
        <w:t xml:space="preserve">. </w:t>
      </w:r>
    </w:p>
    <w:p w:rsidR="00796E58" w:rsidRPr="00E75AEA" w:rsidRDefault="00796E58" w:rsidP="00796E58">
      <w:pPr>
        <w:widowControl/>
        <w:ind w:left="720" w:right="720"/>
        <w:jc w:val="both"/>
        <w:rPr>
          <w:shd w:val="clear" w:color="auto" w:fill="FFFFFF"/>
        </w:rPr>
      </w:pPr>
    </w:p>
    <w:p w:rsidR="00D9275E" w:rsidRPr="00E75AEA" w:rsidRDefault="00D9275E" w:rsidP="00796E58">
      <w:pPr>
        <w:widowControl/>
        <w:ind w:left="720" w:right="720"/>
        <w:jc w:val="both"/>
        <w:rPr>
          <w:shd w:val="clear" w:color="auto" w:fill="FFFFFF"/>
        </w:rPr>
      </w:pPr>
      <w:r w:rsidRPr="00E75AEA">
        <w:rPr>
          <w:shd w:val="clear" w:color="auto" w:fill="FFFFFF"/>
        </w:rPr>
        <w:t xml:space="preserve">Prior to the enactment of the New Jersey Equal Pay Act, New Jersey courts recognized three types of pay discrimination claims under the general employment discrimination provision of the New Jersey Law Against Discrimination (NJLAD), </w:t>
      </w:r>
      <w:r w:rsidRPr="00E75AEA">
        <w:rPr>
          <w:i/>
          <w:shd w:val="clear" w:color="auto" w:fill="FFFFFF"/>
        </w:rPr>
        <w:t>N.J.S.A.</w:t>
      </w:r>
      <w:r w:rsidRPr="00E75AEA">
        <w:rPr>
          <w:shd w:val="clear" w:color="auto" w:fill="FFFFFF"/>
        </w:rPr>
        <w:t xml:space="preserve"> 10:5-12(a): (1) claims of gender discrimination based on unequal pay for equal work; (2) claims of unequal pay for equal work based on a protected characteristic other than gender; and, (3) claims of pay discrimination based on a lesser degree of job similarity than “substantially equal” or “substantially similar” work.  </w:t>
      </w:r>
      <w:r w:rsidRPr="00E75AEA">
        <w:rPr>
          <w:i/>
          <w:iCs/>
          <w:shd w:val="clear" w:color="auto" w:fill="FFFFFF"/>
        </w:rPr>
        <w:t xml:space="preserve">See </w:t>
      </w:r>
      <w:proofErr w:type="spellStart"/>
      <w:r w:rsidRPr="00E75AEA">
        <w:rPr>
          <w:i/>
          <w:iCs/>
          <w:shd w:val="clear" w:color="auto" w:fill="FFFFFF"/>
        </w:rPr>
        <w:t>Grigoletti</w:t>
      </w:r>
      <w:proofErr w:type="spellEnd"/>
      <w:r w:rsidRPr="00E75AEA">
        <w:rPr>
          <w:i/>
          <w:iCs/>
          <w:shd w:val="clear" w:color="auto" w:fill="FFFFFF"/>
        </w:rPr>
        <w:t xml:space="preserve"> v. Ortho Pharmaceutical Corp.</w:t>
      </w:r>
      <w:r w:rsidRPr="00E75AEA">
        <w:rPr>
          <w:shd w:val="clear" w:color="auto" w:fill="FFFFFF"/>
        </w:rPr>
        <w:t xml:space="preserve">, 118 </w:t>
      </w:r>
      <w:r w:rsidRPr="00E75AEA">
        <w:rPr>
          <w:i/>
          <w:iCs/>
          <w:shd w:val="clear" w:color="auto" w:fill="FFFFFF"/>
        </w:rPr>
        <w:t>N.J.</w:t>
      </w:r>
      <w:r w:rsidRPr="00E75AEA">
        <w:rPr>
          <w:shd w:val="clear" w:color="auto" w:fill="FFFFFF"/>
        </w:rPr>
        <w:t xml:space="preserve"> 109-110 (1990); </w:t>
      </w:r>
      <w:bookmarkStart w:id="1" w:name="_Hlk10628223"/>
      <w:proofErr w:type="spellStart"/>
      <w:r w:rsidRPr="00E75AEA">
        <w:rPr>
          <w:i/>
          <w:shd w:val="clear" w:color="auto" w:fill="FFFFFF"/>
        </w:rPr>
        <w:t>Bitsko</w:t>
      </w:r>
      <w:proofErr w:type="spellEnd"/>
      <w:r w:rsidRPr="00E75AEA">
        <w:rPr>
          <w:i/>
          <w:shd w:val="clear" w:color="auto" w:fill="FFFFFF"/>
        </w:rPr>
        <w:t xml:space="preserve"> v.  Main Pharmacy, Inc.</w:t>
      </w:r>
      <w:r w:rsidRPr="00E75AEA">
        <w:rPr>
          <w:shd w:val="clear" w:color="auto" w:fill="FFFFFF"/>
        </w:rPr>
        <w:t xml:space="preserve">, 289 </w:t>
      </w:r>
      <w:proofErr w:type="spellStart"/>
      <w:r w:rsidRPr="00E75AEA">
        <w:rPr>
          <w:i/>
          <w:shd w:val="clear" w:color="auto" w:fill="FFFFFF"/>
        </w:rPr>
        <w:t>N.</w:t>
      </w:r>
      <w:proofErr w:type="gramStart"/>
      <w:r w:rsidRPr="00E75AEA">
        <w:rPr>
          <w:i/>
          <w:shd w:val="clear" w:color="auto" w:fill="FFFFFF"/>
        </w:rPr>
        <w:t>J.Super</w:t>
      </w:r>
      <w:proofErr w:type="spellEnd"/>
      <w:proofErr w:type="gramEnd"/>
      <w:r w:rsidRPr="00E75AEA">
        <w:rPr>
          <w:i/>
          <w:shd w:val="clear" w:color="auto" w:fill="FFFFFF"/>
        </w:rPr>
        <w:t>.</w:t>
      </w:r>
      <w:r w:rsidRPr="00E75AEA">
        <w:rPr>
          <w:shd w:val="clear" w:color="auto" w:fill="FFFFFF"/>
        </w:rPr>
        <w:t xml:space="preserve"> 267, 272 (App. Div. 1996)</w:t>
      </w:r>
      <w:bookmarkEnd w:id="1"/>
      <w:r w:rsidRPr="00E75AEA">
        <w:rPr>
          <w:shd w:val="clear" w:color="auto" w:fill="FFFFFF"/>
        </w:rPr>
        <w:t xml:space="preserve">.  Section 1 of Model Civil Jury Charge 2.24 (now 2.24B) was used for claims of gender discrimination based on unequal pay for equal work.  Section 2 of Model Civil Jury Charge 2.24 was used for all other claims of pay discrimination. </w:t>
      </w:r>
    </w:p>
    <w:p w:rsidR="005712D6" w:rsidRPr="00E75AEA" w:rsidRDefault="005712D6" w:rsidP="00796E58">
      <w:pPr>
        <w:widowControl/>
        <w:ind w:left="720" w:right="720"/>
        <w:jc w:val="both"/>
        <w:rPr>
          <w:shd w:val="clear" w:color="auto" w:fill="FFFFFF"/>
        </w:rPr>
      </w:pPr>
    </w:p>
    <w:p w:rsidR="00D9275E" w:rsidRPr="00E75AEA" w:rsidRDefault="00D9275E" w:rsidP="00796E58">
      <w:pPr>
        <w:widowControl/>
        <w:ind w:left="720" w:right="720"/>
        <w:jc w:val="both"/>
        <w:rPr>
          <w:shd w:val="clear" w:color="auto" w:fill="FFFFFF"/>
        </w:rPr>
      </w:pPr>
      <w:r w:rsidRPr="00E75AEA">
        <w:rPr>
          <w:shd w:val="clear" w:color="auto" w:fill="FFFFFF"/>
        </w:rPr>
        <w:t xml:space="preserve">Model Civil Jury Charge 2.24B should continue to be used for NJLAD claims of pay discrimination where the claim is not subject to the New Jersey Equal Pay Act.  </w:t>
      </w:r>
      <w:r w:rsidRPr="00E75AEA">
        <w:rPr>
          <w:i/>
          <w:shd w:val="clear" w:color="auto" w:fill="FFFFFF"/>
        </w:rPr>
        <w:t xml:space="preserve">See </w:t>
      </w:r>
      <w:proofErr w:type="spellStart"/>
      <w:r w:rsidRPr="00E75AEA">
        <w:rPr>
          <w:i/>
          <w:iCs/>
          <w:shd w:val="clear" w:color="auto" w:fill="FFFFFF"/>
        </w:rPr>
        <w:t>Perrotto</w:t>
      </w:r>
      <w:proofErr w:type="spellEnd"/>
      <w:r w:rsidRPr="00E75AEA">
        <w:rPr>
          <w:i/>
          <w:iCs/>
          <w:shd w:val="clear" w:color="auto" w:fill="FFFFFF"/>
        </w:rPr>
        <w:t xml:space="preserve"> v. Morgan Advanced Materials</w:t>
      </w:r>
      <w:r w:rsidRPr="00E75AEA">
        <w:rPr>
          <w:shd w:val="clear" w:color="auto" w:fill="FFFFFF"/>
        </w:rPr>
        <w:t xml:space="preserve">, Civ. No. 2:18-13825 (D.N.J., Jan. 15, 2019), 2019 WL 192903 at *2 (New Jersey Equal Pay Act applies prospectively).  </w:t>
      </w:r>
    </w:p>
    <w:p w:rsidR="00796E58" w:rsidRPr="00E75AEA" w:rsidRDefault="00796E58" w:rsidP="00796E58">
      <w:pPr>
        <w:widowControl/>
        <w:ind w:left="720" w:right="720"/>
        <w:jc w:val="both"/>
      </w:pPr>
    </w:p>
    <w:p w:rsidR="00575A1F" w:rsidRPr="00E75AEA" w:rsidRDefault="002B2466" w:rsidP="00796E58">
      <w:pPr>
        <w:widowControl/>
        <w:tabs>
          <w:tab w:val="left" w:pos="-720"/>
          <w:tab w:val="left" w:pos="0"/>
        </w:tabs>
        <w:spacing w:line="480" w:lineRule="auto"/>
        <w:jc w:val="both"/>
        <w:rPr>
          <w:shd w:val="clear" w:color="auto" w:fill="FFFFFF"/>
        </w:rPr>
      </w:pPr>
      <w:r w:rsidRPr="00E75AEA">
        <w:rPr>
          <w:spacing w:val="-3"/>
        </w:rPr>
        <w:tab/>
      </w:r>
      <w:r w:rsidR="00856317" w:rsidRPr="00E75AEA">
        <w:rPr>
          <w:spacing w:val="-3"/>
        </w:rPr>
        <w:t xml:space="preserve">In this case, the plaintiff has made a claim </w:t>
      </w:r>
      <w:r w:rsidR="00C94A62" w:rsidRPr="00E75AEA">
        <w:rPr>
          <w:spacing w:val="-3"/>
        </w:rPr>
        <w:t xml:space="preserve">for </w:t>
      </w:r>
      <w:r w:rsidR="004F19CE" w:rsidRPr="00E75AEA">
        <w:rPr>
          <w:spacing w:val="-3"/>
        </w:rPr>
        <w:t>unequal pay</w:t>
      </w:r>
      <w:r w:rsidR="00C94A62" w:rsidRPr="00E75AEA">
        <w:rPr>
          <w:spacing w:val="-3"/>
        </w:rPr>
        <w:t xml:space="preserve"> </w:t>
      </w:r>
      <w:r w:rsidR="00856317" w:rsidRPr="00E75AEA">
        <w:rPr>
          <w:spacing w:val="-3"/>
        </w:rPr>
        <w:t>under t</w:t>
      </w:r>
      <w:r w:rsidR="00C151CA" w:rsidRPr="00E75AEA">
        <w:rPr>
          <w:spacing w:val="-3"/>
        </w:rPr>
        <w:t xml:space="preserve">he </w:t>
      </w:r>
      <w:r w:rsidR="004F19CE" w:rsidRPr="00E75AEA">
        <w:rPr>
          <w:spacing w:val="-3"/>
        </w:rPr>
        <w:t>New Jersey Equal Pay Act</w:t>
      </w:r>
      <w:r w:rsidR="00C94A62" w:rsidRPr="00E75AEA">
        <w:rPr>
          <w:spacing w:val="-3"/>
        </w:rPr>
        <w:t>. That law</w:t>
      </w:r>
      <w:r w:rsidR="00C151CA" w:rsidRPr="00E75AEA">
        <w:rPr>
          <w:spacing w:val="-3"/>
        </w:rPr>
        <w:t xml:space="preserve"> makes it unlawful </w:t>
      </w:r>
      <w:r w:rsidR="00C151CA" w:rsidRPr="00E75AEA">
        <w:rPr>
          <w:shd w:val="clear" w:color="auto" w:fill="FFFFFF"/>
        </w:rPr>
        <w:t xml:space="preserve">for an employer to pay any employee who </w:t>
      </w:r>
      <w:r w:rsidR="00C151CA" w:rsidRPr="00E75AEA">
        <w:rPr>
          <w:shd w:val="clear" w:color="auto" w:fill="FFFFFF"/>
        </w:rPr>
        <w:lastRenderedPageBreak/>
        <w:t>is</w:t>
      </w:r>
      <w:r w:rsidR="00E04D89" w:rsidRPr="00E75AEA">
        <w:rPr>
          <w:shd w:val="clear" w:color="auto" w:fill="FFFFFF"/>
        </w:rPr>
        <w:t xml:space="preserve"> a member of a protected class </w:t>
      </w:r>
      <w:r w:rsidR="00C151CA" w:rsidRPr="00E75AEA">
        <w:rPr>
          <w:shd w:val="clear" w:color="auto" w:fill="FFFFFF"/>
        </w:rPr>
        <w:t>at a rate of compensation</w:t>
      </w:r>
      <w:r w:rsidR="00C94A62" w:rsidRPr="00E75AEA">
        <w:rPr>
          <w:shd w:val="clear" w:color="auto" w:fill="FFFFFF"/>
        </w:rPr>
        <w:t xml:space="preserve"> that</w:t>
      </w:r>
      <w:r w:rsidR="00C151CA" w:rsidRPr="00E75AEA">
        <w:rPr>
          <w:shd w:val="clear" w:color="auto" w:fill="FFFFFF"/>
        </w:rPr>
        <w:t xml:space="preserve"> is less than the rate </w:t>
      </w:r>
      <w:r w:rsidR="00DC52CB" w:rsidRPr="00E75AEA">
        <w:rPr>
          <w:shd w:val="clear" w:color="auto" w:fill="FFFFFF"/>
        </w:rPr>
        <w:t>the employer pays</w:t>
      </w:r>
      <w:r w:rsidR="00C151CA" w:rsidRPr="00E75AEA">
        <w:rPr>
          <w:shd w:val="clear" w:color="auto" w:fill="FFFFFF"/>
        </w:rPr>
        <w:t xml:space="preserve"> to </w:t>
      </w:r>
      <w:r w:rsidR="00620D49" w:rsidRPr="00E75AEA">
        <w:rPr>
          <w:shd w:val="clear" w:color="auto" w:fill="FFFFFF"/>
        </w:rPr>
        <w:t xml:space="preserve">an employee or group of </w:t>
      </w:r>
      <w:r w:rsidR="00C151CA" w:rsidRPr="00E75AEA">
        <w:rPr>
          <w:shd w:val="clear" w:color="auto" w:fill="FFFFFF"/>
        </w:rPr>
        <w:t>employees who are not</w:t>
      </w:r>
      <w:r w:rsidR="00E04D89" w:rsidRPr="00E75AEA">
        <w:rPr>
          <w:shd w:val="clear" w:color="auto" w:fill="FFFFFF"/>
        </w:rPr>
        <w:t xml:space="preserve"> members of the protected class</w:t>
      </w:r>
      <w:r w:rsidR="00C151CA" w:rsidRPr="00E75AEA">
        <w:rPr>
          <w:shd w:val="clear" w:color="auto" w:fill="FFFFFF"/>
        </w:rPr>
        <w:t xml:space="preserve"> for substantially similar work.</w:t>
      </w:r>
      <w:r w:rsidR="00856317" w:rsidRPr="00E75AEA">
        <w:rPr>
          <w:shd w:val="clear" w:color="auto" w:fill="FFFFFF"/>
        </w:rPr>
        <w:t xml:space="preserve">  </w:t>
      </w:r>
    </w:p>
    <w:p w:rsidR="009975ED" w:rsidRPr="00E75AEA" w:rsidRDefault="009975ED" w:rsidP="00796E58">
      <w:pPr>
        <w:widowControl/>
        <w:tabs>
          <w:tab w:val="left" w:pos="-720"/>
          <w:tab w:val="left" w:pos="0"/>
        </w:tabs>
        <w:spacing w:line="480" w:lineRule="auto"/>
        <w:contextualSpacing/>
        <w:jc w:val="both"/>
      </w:pPr>
      <w:r w:rsidRPr="00E75AEA">
        <w:rPr>
          <w:shd w:val="clear" w:color="auto" w:fill="FFFFFF"/>
        </w:rPr>
        <w:tab/>
        <w:t>Specifically, the p</w:t>
      </w:r>
      <w:r w:rsidRPr="00E75AEA">
        <w:t>laintiff has asserted that [</w:t>
      </w:r>
      <w:r w:rsidRPr="00E75AEA">
        <w:rPr>
          <w:i/>
        </w:rPr>
        <w:t>he/she</w:t>
      </w:r>
      <w:r w:rsidRPr="00E75AEA">
        <w:t>] is [</w:t>
      </w:r>
      <w:r w:rsidRPr="00E75AEA">
        <w:rPr>
          <w:i/>
        </w:rPr>
        <w:t>insert protected class</w:t>
      </w:r>
      <w:r w:rsidRPr="00E75AEA">
        <w:t>], and [</w:t>
      </w:r>
      <w:r w:rsidRPr="00E75AEA">
        <w:rPr>
          <w:i/>
        </w:rPr>
        <w:t>his/her</w:t>
      </w:r>
      <w:r w:rsidRPr="00E75AEA">
        <w:t>] employer violated the New Jersey Equal Pay Act by paying [</w:t>
      </w:r>
      <w:r w:rsidRPr="00E75AEA">
        <w:rPr>
          <w:i/>
        </w:rPr>
        <w:t>him/her</w:t>
      </w:r>
      <w:r w:rsidRPr="00E75AEA">
        <w:t>] lower wages than the wages it paid to (an) employee(s) who (is) are not [</w:t>
      </w:r>
      <w:r w:rsidRPr="00E75AEA">
        <w:rPr>
          <w:i/>
        </w:rPr>
        <w:t>identify protected class</w:t>
      </w:r>
      <w:r w:rsidRPr="00E75AEA">
        <w:t xml:space="preserve">] for substantially similar work. </w:t>
      </w:r>
    </w:p>
    <w:p w:rsidR="00856317" w:rsidRPr="00E75AEA" w:rsidRDefault="00F43985" w:rsidP="00796E58">
      <w:pPr>
        <w:widowControl/>
        <w:tabs>
          <w:tab w:val="left" w:pos="-720"/>
          <w:tab w:val="left" w:pos="0"/>
        </w:tabs>
        <w:spacing w:line="480" w:lineRule="auto"/>
        <w:jc w:val="both"/>
      </w:pPr>
      <w:r w:rsidRPr="00E75AEA">
        <w:tab/>
      </w:r>
      <w:r w:rsidR="009975ED" w:rsidRPr="00E75AEA">
        <w:t>Defendant claims that plaintiff’s job was not substantially similar to the jobs performed by [</w:t>
      </w:r>
      <w:r w:rsidR="009975ED" w:rsidRPr="00E75AEA">
        <w:rPr>
          <w:i/>
        </w:rPr>
        <w:t>his/her/its</w:t>
      </w:r>
      <w:r w:rsidR="009975ED" w:rsidRPr="00E75AEA">
        <w:t>] non</w:t>
      </w:r>
      <w:proofErr w:type="gramStart"/>
      <w:r w:rsidR="009975ED" w:rsidRPr="00E75AEA">
        <w:t>-[</w:t>
      </w:r>
      <w:proofErr w:type="gramEnd"/>
      <w:r w:rsidR="009975ED" w:rsidRPr="00E75AEA">
        <w:rPr>
          <w:i/>
        </w:rPr>
        <w:t>insert protected class</w:t>
      </w:r>
      <w:r w:rsidR="009975ED" w:rsidRPr="00E75AEA">
        <w:t>] employee(s).  Further, defendant asserts that [</w:t>
      </w:r>
      <w:r w:rsidR="009975ED" w:rsidRPr="00E75AEA">
        <w:rPr>
          <w:i/>
        </w:rPr>
        <w:t>describe any affirmative defenses</w:t>
      </w:r>
      <w:r w:rsidR="009975ED" w:rsidRPr="00E75AEA">
        <w:t>].</w:t>
      </w:r>
      <w:r w:rsidR="00856317" w:rsidRPr="00E75AEA">
        <w:t xml:space="preserve"> </w:t>
      </w:r>
    </w:p>
    <w:p w:rsidR="00856317" w:rsidRPr="00E75AEA" w:rsidRDefault="00856317" w:rsidP="00796E58">
      <w:pPr>
        <w:widowControl/>
        <w:spacing w:line="480" w:lineRule="auto"/>
      </w:pPr>
      <w:r w:rsidRPr="00E75AEA">
        <w:tab/>
        <w:t>I will now instruct you more fully on the issues you must address in this case.</w:t>
      </w:r>
    </w:p>
    <w:p w:rsidR="006D01FE" w:rsidRPr="00E75AEA" w:rsidRDefault="006D01FE" w:rsidP="00796E58">
      <w:pPr>
        <w:widowControl/>
        <w:numPr>
          <w:ilvl w:val="0"/>
          <w:numId w:val="6"/>
        </w:numPr>
        <w:spacing w:line="480" w:lineRule="auto"/>
        <w:ind w:left="1440" w:hanging="720"/>
        <w:rPr>
          <w:b/>
        </w:rPr>
      </w:pPr>
      <w:r w:rsidRPr="00E75AEA">
        <w:rPr>
          <w:b/>
        </w:rPr>
        <w:t>Plaintiff’s Burden of Proof</w:t>
      </w:r>
    </w:p>
    <w:p w:rsidR="00796E58" w:rsidRPr="00E75AEA" w:rsidRDefault="00092995" w:rsidP="00796E58">
      <w:pPr>
        <w:widowControl/>
        <w:spacing w:line="480" w:lineRule="auto"/>
        <w:jc w:val="both"/>
      </w:pPr>
      <w:r w:rsidRPr="00E75AEA">
        <w:rPr>
          <w:spacing w:val="-3"/>
        </w:rPr>
        <w:tab/>
      </w:r>
      <w:r w:rsidR="009975ED" w:rsidRPr="00E75AEA">
        <w:t>For the plaintiff to prevail on [</w:t>
      </w:r>
      <w:r w:rsidR="009975ED" w:rsidRPr="00E75AEA">
        <w:rPr>
          <w:i/>
        </w:rPr>
        <w:t>his/her</w:t>
      </w:r>
      <w:r w:rsidR="009975ED" w:rsidRPr="00E75AEA">
        <w:t>] claim against defendant for unequal pay in violation of the New Jersey Equal Pay Act, the plaintiff must prove three elements by a preponderance of the evidence:</w:t>
      </w:r>
    </w:p>
    <w:p w:rsidR="00E04D89" w:rsidRPr="00E75AEA" w:rsidRDefault="009975ED" w:rsidP="00796E58">
      <w:pPr>
        <w:widowControl/>
        <w:spacing w:line="480" w:lineRule="auto"/>
        <w:ind w:left="720"/>
        <w:jc w:val="both"/>
      </w:pPr>
      <w:r w:rsidRPr="00E75AEA">
        <w:lastRenderedPageBreak/>
        <w:t>First: [</w:t>
      </w:r>
      <w:r w:rsidRPr="00E75AEA">
        <w:rPr>
          <w:i/>
        </w:rPr>
        <w:t>He/She</w:t>
      </w:r>
      <w:r w:rsidRPr="00E75AEA">
        <w:t>] is a member of a protected class. I hereby instruct you that [</w:t>
      </w:r>
      <w:r w:rsidRPr="00E75AEA">
        <w:rPr>
          <w:i/>
        </w:rPr>
        <w:t>insert protected class</w:t>
      </w:r>
      <w:r w:rsidRPr="00E75AEA">
        <w:t>] is a protected class under the New Jersey New Jersey Equal Pay Act</w:t>
      </w:r>
      <w:r w:rsidR="00E04D89" w:rsidRPr="00E75AEA">
        <w:t>.</w:t>
      </w:r>
      <w:r w:rsidR="00153F49" w:rsidRPr="00E75AEA">
        <w:rPr>
          <w:rStyle w:val="FootnoteReference"/>
        </w:rPr>
        <w:footnoteReference w:id="1"/>
      </w:r>
    </w:p>
    <w:p w:rsidR="00575A1F" w:rsidRPr="00E75AEA" w:rsidRDefault="00E04D89" w:rsidP="00796E58">
      <w:pPr>
        <w:widowControl/>
        <w:spacing w:line="480" w:lineRule="auto"/>
        <w:ind w:left="720"/>
        <w:jc w:val="both"/>
      </w:pPr>
      <w:r w:rsidRPr="00E75AEA">
        <w:t xml:space="preserve">Second: </w:t>
      </w:r>
      <w:r w:rsidR="00575A1F" w:rsidRPr="00E75AEA">
        <w:t>Defendant has employed plaintiff and (a</w:t>
      </w:r>
      <w:r w:rsidR="00A519EE" w:rsidRPr="00E75AEA">
        <w:t>n</w:t>
      </w:r>
      <w:r w:rsidR="00575A1F" w:rsidRPr="00E75AEA">
        <w:t xml:space="preserve">) employee(s) who </w:t>
      </w:r>
      <w:r w:rsidR="00A519EE" w:rsidRPr="00E75AEA">
        <w:t>is/</w:t>
      </w:r>
      <w:r w:rsidR="00575A1F" w:rsidRPr="00E75AEA">
        <w:t>are not [</w:t>
      </w:r>
      <w:r w:rsidR="00575A1F" w:rsidRPr="00E75AEA">
        <w:rPr>
          <w:i/>
        </w:rPr>
        <w:t>insert protected class</w:t>
      </w:r>
      <w:r w:rsidR="00575A1F" w:rsidRPr="00E75AEA">
        <w:t>] in jobs requiring substantially similar work;</w:t>
      </w:r>
    </w:p>
    <w:p w:rsidR="00575A1F" w:rsidRPr="00E75AEA" w:rsidRDefault="00E04D89" w:rsidP="00796E58">
      <w:pPr>
        <w:widowControl/>
        <w:spacing w:line="480" w:lineRule="auto"/>
        <w:ind w:left="720"/>
        <w:jc w:val="both"/>
      </w:pPr>
      <w:r w:rsidRPr="00E75AEA">
        <w:t>Third</w:t>
      </w:r>
      <w:r w:rsidR="00575A1F" w:rsidRPr="00E75AEA">
        <w:t>: Plaintiff was paid a lower wage than</w:t>
      </w:r>
      <w:r w:rsidR="00842203" w:rsidRPr="00E75AEA">
        <w:t xml:space="preserve"> one or more of</w:t>
      </w:r>
      <w:r w:rsidR="00575A1F" w:rsidRPr="00E75AEA">
        <w:t xml:space="preserve"> the employee</w:t>
      </w:r>
      <w:r w:rsidR="00200623" w:rsidRPr="00E75AEA">
        <w:t>s</w:t>
      </w:r>
      <w:r w:rsidR="00575A1F" w:rsidRPr="00E75AEA">
        <w:t xml:space="preserve"> doing substantially similar work who are not [</w:t>
      </w:r>
      <w:r w:rsidR="00575A1F" w:rsidRPr="00E75AEA">
        <w:rPr>
          <w:i/>
        </w:rPr>
        <w:t xml:space="preserve">insert protected </w:t>
      </w:r>
      <w:r w:rsidR="00575A1F" w:rsidRPr="00E75AEA">
        <w:t>class].</w:t>
      </w:r>
    </w:p>
    <w:p w:rsidR="00575A1F" w:rsidRPr="00E75AEA" w:rsidRDefault="00575A1F" w:rsidP="00E72766">
      <w:pPr>
        <w:widowControl/>
        <w:spacing w:line="480" w:lineRule="auto"/>
        <w:jc w:val="both"/>
      </w:pPr>
      <w:r w:rsidRPr="00E75AEA">
        <w:tab/>
      </w:r>
      <w:r w:rsidR="00F41A20" w:rsidRPr="00E75AEA">
        <w:t>I will now give you further instructions on the second two elements. When evaluating whether the plaintiff has established these two elements, you must keep in mind that the plaintiff does not have to prove that defendant meant to discriminate against plaintiff because [</w:t>
      </w:r>
      <w:r w:rsidR="00F41A20" w:rsidRPr="00E75AEA">
        <w:rPr>
          <w:i/>
        </w:rPr>
        <w:t>he/she</w:t>
      </w:r>
      <w:r w:rsidR="00F41A20" w:rsidRPr="00E75AEA">
        <w:t>] is [</w:t>
      </w:r>
      <w:r w:rsidR="00F41A20" w:rsidRPr="00E75AEA">
        <w:rPr>
          <w:i/>
        </w:rPr>
        <w:t>insert protected class</w:t>
      </w:r>
      <w:r w:rsidR="00F41A20" w:rsidRPr="00E75AEA">
        <w:t>]. In other words, the plaintiff does not have to prove intent to discriminate</w:t>
      </w:r>
      <w:r w:rsidRPr="00E75AEA">
        <w:t>.</w:t>
      </w:r>
      <w:r w:rsidR="00C043F7" w:rsidRPr="00E75AEA">
        <w:rPr>
          <w:rStyle w:val="FootnoteReference"/>
        </w:rPr>
        <w:footnoteReference w:id="2"/>
      </w:r>
      <w:r w:rsidRPr="00E75AEA">
        <w:t xml:space="preserve">  </w:t>
      </w:r>
    </w:p>
    <w:p w:rsidR="00C043F7" w:rsidRPr="00E75AEA" w:rsidRDefault="00963AA2" w:rsidP="00E72766">
      <w:pPr>
        <w:widowControl/>
        <w:tabs>
          <w:tab w:val="left" w:pos="-720"/>
        </w:tabs>
        <w:spacing w:line="480" w:lineRule="auto"/>
        <w:ind w:left="2160" w:hanging="2160"/>
        <w:jc w:val="both"/>
        <w:rPr>
          <w:spacing w:val="-3"/>
        </w:rPr>
      </w:pPr>
      <w:r w:rsidRPr="00E75AEA">
        <w:rPr>
          <w:b/>
          <w:bCs/>
          <w:spacing w:val="-3"/>
        </w:rPr>
        <w:lastRenderedPageBreak/>
        <w:tab/>
      </w:r>
      <w:r w:rsidR="00C043F7" w:rsidRPr="00E75AEA">
        <w:rPr>
          <w:b/>
          <w:bCs/>
          <w:spacing w:val="-3"/>
        </w:rPr>
        <w:t>1.</w:t>
      </w:r>
      <w:r w:rsidR="00C043F7" w:rsidRPr="00E75AEA">
        <w:rPr>
          <w:b/>
          <w:bCs/>
          <w:spacing w:val="-3"/>
        </w:rPr>
        <w:tab/>
        <w:t>Substantially Similar Work</w:t>
      </w:r>
    </w:p>
    <w:p w:rsidR="0055735E" w:rsidRPr="00E75AEA" w:rsidRDefault="00575A1F" w:rsidP="00E72766">
      <w:pPr>
        <w:widowControl/>
        <w:spacing w:line="480" w:lineRule="auto"/>
        <w:jc w:val="both"/>
      </w:pPr>
      <w:r w:rsidRPr="00E75AEA">
        <w:tab/>
      </w:r>
      <w:r w:rsidR="00C043F7" w:rsidRPr="00E75AEA">
        <w:rPr>
          <w:spacing w:val="-3"/>
        </w:rPr>
        <w:t xml:space="preserve">The </w:t>
      </w:r>
      <w:r w:rsidR="004F19CE" w:rsidRPr="00E75AEA">
        <w:rPr>
          <w:spacing w:val="-3"/>
        </w:rPr>
        <w:t>New Jersey Equal Pay Act</w:t>
      </w:r>
      <w:r w:rsidR="00C043F7" w:rsidRPr="00E75AEA">
        <w:rPr>
          <w:spacing w:val="-3"/>
        </w:rPr>
        <w:t xml:space="preserve"> defines “substantially similar work” as work that is substantially similar “when viewed as a composite of skill, effort and responsibility.”</w:t>
      </w:r>
      <w:r w:rsidR="00C043F7" w:rsidRPr="00E75AEA">
        <w:rPr>
          <w:rStyle w:val="FootnoteReference"/>
          <w:spacing w:val="-3"/>
        </w:rPr>
        <w:footnoteReference w:id="3"/>
      </w:r>
      <w:r w:rsidR="00C043F7" w:rsidRPr="00E75AEA">
        <w:rPr>
          <w:spacing w:val="-3"/>
        </w:rPr>
        <w:t xml:space="preserve"> </w:t>
      </w:r>
      <w:r w:rsidR="0055735E" w:rsidRPr="00E75AEA">
        <w:t xml:space="preserve">This inquiry does not focus on </w:t>
      </w:r>
      <w:r w:rsidR="00B6593B" w:rsidRPr="00E75AEA">
        <w:t>job classifications, titles or descriptions.</w:t>
      </w:r>
      <w:r w:rsidR="0055735E" w:rsidRPr="00E75AEA">
        <w:rPr>
          <w:rStyle w:val="FootnoteReference"/>
        </w:rPr>
        <w:footnoteReference w:id="4"/>
      </w:r>
      <w:r w:rsidR="001C3D22" w:rsidRPr="00E75AEA">
        <w:t xml:space="preserve"> It is the actual work </w:t>
      </w:r>
      <w:r w:rsidR="004F19CE" w:rsidRPr="00E75AEA">
        <w:t>performed by the employees holding the positions being compared</w:t>
      </w:r>
      <w:r w:rsidR="001C3D22" w:rsidRPr="00E75AEA">
        <w:t xml:space="preserve"> that </w:t>
      </w:r>
      <w:r w:rsidR="004F19CE" w:rsidRPr="00E75AEA">
        <w:t>controls</w:t>
      </w:r>
      <w:r w:rsidR="001C3D22" w:rsidRPr="00E75AEA">
        <w:t>.</w:t>
      </w:r>
      <w:r w:rsidR="001C3D22" w:rsidRPr="00E75AEA">
        <w:rPr>
          <w:rStyle w:val="FootnoteReference"/>
        </w:rPr>
        <w:footnoteReference w:id="5"/>
      </w:r>
    </w:p>
    <w:p w:rsidR="00575A1F" w:rsidRPr="00E75AEA" w:rsidRDefault="00575A1F" w:rsidP="00796E58">
      <w:pPr>
        <w:widowControl/>
        <w:spacing w:line="480" w:lineRule="auto"/>
        <w:ind w:firstLine="720"/>
        <w:jc w:val="both"/>
      </w:pPr>
      <w:r w:rsidRPr="00E75AEA">
        <w:t xml:space="preserve">In determining whether plaintiff’s job required substantially </w:t>
      </w:r>
      <w:r w:rsidR="00DC52CB" w:rsidRPr="00E75AEA">
        <w:t>similar</w:t>
      </w:r>
      <w:r w:rsidRPr="00E75AEA">
        <w:t xml:space="preserve"> skill, effort, and responsibility as that of the employee(s)</w:t>
      </w:r>
      <w:r w:rsidR="00DC52CB" w:rsidRPr="00E75AEA">
        <w:t xml:space="preserve"> who </w:t>
      </w:r>
      <w:r w:rsidR="00A519EE" w:rsidRPr="00E75AEA">
        <w:t>is/</w:t>
      </w:r>
      <w:r w:rsidR="00DC52CB" w:rsidRPr="00E75AEA">
        <w:t>are not [</w:t>
      </w:r>
      <w:r w:rsidR="00DC52CB" w:rsidRPr="00E75AEA">
        <w:rPr>
          <w:i/>
        </w:rPr>
        <w:t>insert protected class</w:t>
      </w:r>
      <w:r w:rsidR="00DC52CB" w:rsidRPr="00E75AEA">
        <w:t>]</w:t>
      </w:r>
      <w:r w:rsidRPr="00E75AEA">
        <w:t>, you must compare the jobs and not the individual employees holding those jobs.</w:t>
      </w:r>
      <w:r w:rsidR="00DC52CB" w:rsidRPr="00E75AEA">
        <w:rPr>
          <w:rStyle w:val="FootnoteReference"/>
        </w:rPr>
        <w:footnoteReference w:id="6"/>
      </w:r>
      <w:r w:rsidR="00DC52CB" w:rsidRPr="00E75AEA">
        <w:t xml:space="preserve"> </w:t>
      </w:r>
      <w:r w:rsidR="006D01FE" w:rsidRPr="00E75AEA">
        <w:t>Moreover, i</w:t>
      </w:r>
      <w:r w:rsidRPr="00E75AEA">
        <w:t xml:space="preserve">t is not necessary that the two jobs be identical; the </w:t>
      </w:r>
      <w:r w:rsidR="004F19CE" w:rsidRPr="00E75AEA">
        <w:t xml:space="preserve">New Jersey </w:t>
      </w:r>
      <w:r w:rsidR="004F19CE" w:rsidRPr="00E75AEA">
        <w:lastRenderedPageBreak/>
        <w:t>Equal Pay Act</w:t>
      </w:r>
      <w:r w:rsidRPr="00E75AEA">
        <w:t xml:space="preserve"> </w:t>
      </w:r>
      <w:r w:rsidR="0055735E" w:rsidRPr="00E75AEA">
        <w:t xml:space="preserve">only </w:t>
      </w:r>
      <w:r w:rsidRPr="00E75AEA">
        <w:t>requires proof that</w:t>
      </w:r>
      <w:r w:rsidR="00DC52CB" w:rsidRPr="00E75AEA">
        <w:t xml:space="preserve"> in the aggregate,</w:t>
      </w:r>
      <w:r w:rsidRPr="00E75AEA">
        <w:t xml:space="preserve"> the performance of the two jobs demands “substantially </w:t>
      </w:r>
      <w:r w:rsidR="00DC52CB" w:rsidRPr="00E75AEA">
        <w:t>similar</w:t>
      </w:r>
      <w:r w:rsidRPr="00E75AEA">
        <w:t>” skill, effort and responsibility.</w:t>
      </w:r>
      <w:r w:rsidR="00DC52CB" w:rsidRPr="00E75AEA">
        <w:rPr>
          <w:rStyle w:val="FootnoteReference"/>
        </w:rPr>
        <w:footnoteReference w:id="7"/>
      </w:r>
      <w:r w:rsidR="00DC52CB" w:rsidRPr="00E75AEA">
        <w:t xml:space="preserve"> </w:t>
      </w:r>
      <w:r w:rsidR="00C94A62" w:rsidRPr="00E75AEA">
        <w:t xml:space="preserve">The crucial issue is whether the essential aspects of the two jobs being compared are </w:t>
      </w:r>
      <w:r w:rsidR="00766610" w:rsidRPr="00E75AEA">
        <w:t>“</w:t>
      </w:r>
      <w:r w:rsidR="00C94A62" w:rsidRPr="00E75AEA">
        <w:t>s</w:t>
      </w:r>
      <w:r w:rsidR="00766610" w:rsidRPr="00E75AEA">
        <w:t>ubstantially similar</w:t>
      </w:r>
      <w:r w:rsidR="00C94A62" w:rsidRPr="00E75AEA">
        <w:t>.</w:t>
      </w:r>
      <w:r w:rsidR="00766610" w:rsidRPr="00E75AEA">
        <w:t>”</w:t>
      </w:r>
      <w:r w:rsidR="0055735E" w:rsidRPr="00E75AEA">
        <w:rPr>
          <w:rStyle w:val="FootnoteReference"/>
        </w:rPr>
        <w:footnoteReference w:id="8"/>
      </w:r>
      <w:r w:rsidR="0055735E" w:rsidRPr="00E75AEA">
        <w:t xml:space="preserve"> </w:t>
      </w:r>
      <w:r w:rsidR="00A519EE" w:rsidRPr="00E75AEA">
        <w:t xml:space="preserve"> </w:t>
      </w:r>
      <w:r w:rsidRPr="00E75AEA">
        <w:t>Insignificant, insubstantial, or trivial differences do not matter and may be disregarded.</w:t>
      </w:r>
      <w:r w:rsidR="00DC52CB" w:rsidRPr="00E75AEA">
        <w:rPr>
          <w:rStyle w:val="FootnoteReference"/>
        </w:rPr>
        <w:footnoteReference w:id="9"/>
      </w:r>
    </w:p>
    <w:p w:rsidR="00575A1F" w:rsidRPr="00E75AEA" w:rsidRDefault="00575A1F" w:rsidP="00796E58">
      <w:pPr>
        <w:widowControl/>
        <w:spacing w:line="480" w:lineRule="auto"/>
        <w:jc w:val="both"/>
        <w:rPr>
          <w:i/>
          <w:iCs/>
        </w:rPr>
      </w:pPr>
      <w:r w:rsidRPr="00E75AEA">
        <w:tab/>
        <w:t xml:space="preserve">In evaluating whether the performance requirements of the two jobs are substantially </w:t>
      </w:r>
      <w:r w:rsidR="0055735E" w:rsidRPr="00E75AEA">
        <w:t>similar</w:t>
      </w:r>
      <w:r w:rsidRPr="00E75AEA">
        <w:t xml:space="preserve">, you must consider the “skill,” “effort” and “responsibility” required for these jobs. I will now tell you what is meant by these terms, “skill,” “effort” and “responsibility.” </w:t>
      </w:r>
    </w:p>
    <w:p w:rsidR="00575A1F" w:rsidRPr="00E75AEA" w:rsidRDefault="00575A1F" w:rsidP="00796E58">
      <w:pPr>
        <w:widowControl/>
        <w:spacing w:line="480" w:lineRule="auto"/>
        <w:ind w:left="720" w:firstLine="720"/>
        <w:jc w:val="both"/>
      </w:pPr>
      <w:r w:rsidRPr="00E75AEA">
        <w:rPr>
          <w:i/>
          <w:iCs/>
        </w:rPr>
        <w:t>Skill:</w:t>
      </w:r>
    </w:p>
    <w:p w:rsidR="00575A1F" w:rsidRPr="00E75AEA" w:rsidRDefault="00575A1F" w:rsidP="00796E58">
      <w:pPr>
        <w:widowControl/>
        <w:spacing w:line="480" w:lineRule="auto"/>
        <w:jc w:val="both"/>
      </w:pPr>
      <w:r w:rsidRPr="00E75AEA">
        <w:tab/>
        <w:t xml:space="preserve">In deciding whether the jobs require substantially </w:t>
      </w:r>
      <w:r w:rsidR="0055735E" w:rsidRPr="00E75AEA">
        <w:t>similar</w:t>
      </w:r>
      <w:r w:rsidRPr="00E75AEA">
        <w:t xml:space="preserve"> “skill</w:t>
      </w:r>
      <w:r w:rsidR="004F19CE" w:rsidRPr="00E75AEA">
        <w:t>,</w:t>
      </w:r>
      <w:r w:rsidRPr="00E75AEA">
        <w:t>” you should consider such factors as the level of education, experience, training and ability necessary to meet the performance requirements of the respective jobs.</w:t>
      </w:r>
      <w:r w:rsidR="00A519EE" w:rsidRPr="00E75AEA">
        <w:rPr>
          <w:rStyle w:val="FootnoteReference"/>
        </w:rPr>
        <w:footnoteReference w:id="10"/>
      </w:r>
      <w:r w:rsidRPr="00E75AEA">
        <w:t xml:space="preserve"> Jobs may require “</w:t>
      </w:r>
      <w:r w:rsidR="0055735E" w:rsidRPr="00E75AEA">
        <w:t>similar</w:t>
      </w:r>
      <w:r w:rsidRPr="00E75AEA">
        <w:t xml:space="preserve"> skill” even if one job does not require workers to use these skills as </w:t>
      </w:r>
      <w:r w:rsidRPr="00E75AEA">
        <w:lastRenderedPageBreak/>
        <w:t>often as another job.</w:t>
      </w:r>
      <w:r w:rsidRPr="00E75AEA">
        <w:rPr>
          <w:b/>
          <w:bCs/>
        </w:rPr>
        <w:t xml:space="preserve"> </w:t>
      </w:r>
      <w:r w:rsidRPr="00E75AEA">
        <w:t xml:space="preserve"> Remember also that you are to compare the jobs, not the employees.</w:t>
      </w:r>
      <w:r w:rsidR="0009555A" w:rsidRPr="00E75AEA">
        <w:rPr>
          <w:rStyle w:val="FootnoteReference"/>
        </w:rPr>
        <w:footnoteReference w:id="11"/>
      </w:r>
      <w:r w:rsidR="0009555A" w:rsidRPr="00E75AEA">
        <w:t xml:space="preserve"> </w:t>
      </w:r>
      <w:r w:rsidRPr="00E75AEA">
        <w:t xml:space="preserve"> </w:t>
      </w:r>
      <w:r w:rsidR="0009555A" w:rsidRPr="00E75AEA">
        <w:t>Therefore, you should only consider the qualifications and skills necessary to perform the job</w:t>
      </w:r>
      <w:r w:rsidR="008F5DBE" w:rsidRPr="00E75AEA">
        <w:t>s</w:t>
      </w:r>
      <w:r w:rsidR="000238B5" w:rsidRPr="00E75AEA">
        <w:t>. You should not compare</w:t>
      </w:r>
      <w:r w:rsidR="0009555A" w:rsidRPr="00E75AEA">
        <w:t xml:space="preserve"> the specific qualifications and individual abilities of the employees who occupy the positions.</w:t>
      </w:r>
      <w:r w:rsidR="0009555A" w:rsidRPr="00E75AEA">
        <w:rPr>
          <w:rStyle w:val="FootnoteReference"/>
        </w:rPr>
        <w:footnoteReference w:id="12"/>
      </w:r>
      <w:r w:rsidR="0009555A" w:rsidRPr="00E75AEA">
        <w:t xml:space="preserve"> </w:t>
      </w:r>
    </w:p>
    <w:p w:rsidR="00575A1F" w:rsidRPr="00E75AEA" w:rsidRDefault="00575A1F" w:rsidP="00796E58">
      <w:pPr>
        <w:widowControl/>
        <w:spacing w:line="480" w:lineRule="auto"/>
        <w:ind w:left="720" w:firstLine="720"/>
        <w:jc w:val="both"/>
      </w:pPr>
      <w:r w:rsidRPr="00E75AEA">
        <w:rPr>
          <w:i/>
          <w:iCs/>
        </w:rPr>
        <w:t>Effort:</w:t>
      </w:r>
    </w:p>
    <w:p w:rsidR="00575A1F" w:rsidRPr="00E75AEA" w:rsidRDefault="00575A1F" w:rsidP="00796E58">
      <w:pPr>
        <w:widowControl/>
        <w:spacing w:line="480" w:lineRule="auto"/>
        <w:jc w:val="both"/>
        <w:rPr>
          <w:i/>
          <w:iCs/>
        </w:rPr>
      </w:pPr>
      <w:r w:rsidRPr="00E75AEA">
        <w:tab/>
        <w:t xml:space="preserve">In deciding whether the jobs require substantially </w:t>
      </w:r>
      <w:r w:rsidR="0055735E" w:rsidRPr="00E75AEA">
        <w:t>similar</w:t>
      </w:r>
      <w:r w:rsidRPr="00E75AEA">
        <w:t xml:space="preserve"> “effort</w:t>
      </w:r>
      <w:r w:rsidR="004F19CE" w:rsidRPr="00E75AEA">
        <w:t>,</w:t>
      </w:r>
      <w:r w:rsidRPr="00E75AEA">
        <w:t>” you should consider the mental, physical and emotional requirements for performing the job.  Duties that result in mental or physical fatigue or emotional stress, as well as factors that alleviate fatigue and stress, should be weighed together in assessing the relative effort involved. “</w:t>
      </w:r>
      <w:r w:rsidR="0055735E" w:rsidRPr="00E75AEA">
        <w:t>Similar</w:t>
      </w:r>
      <w:r w:rsidRPr="00E75AEA">
        <w:t xml:space="preserve"> effort” does not require people to use effort in exactly the same way. If there is no substantial difference in the amount or degree of effort to do the jobs, they require “</w:t>
      </w:r>
      <w:r w:rsidR="0055735E" w:rsidRPr="00E75AEA">
        <w:t>similar</w:t>
      </w:r>
      <w:r w:rsidRPr="00E75AEA">
        <w:t xml:space="preserve"> effort.” However, if the job of the employee(s)</w:t>
      </w:r>
      <w:r w:rsidR="006D01FE" w:rsidRPr="00E75AEA">
        <w:t xml:space="preserve"> who are not [</w:t>
      </w:r>
      <w:r w:rsidR="006D01FE" w:rsidRPr="00E75AEA">
        <w:rPr>
          <w:i/>
        </w:rPr>
        <w:t>insert protected class</w:t>
      </w:r>
      <w:r w:rsidR="006D01FE" w:rsidRPr="00E75AEA">
        <w:t xml:space="preserve">] </w:t>
      </w:r>
      <w:r w:rsidRPr="00E75AEA">
        <w:t xml:space="preserve">require(s) additional tasks that consume a significant amount of extra time and effort that would not be expected of plaintiff, then the jobs do not require substantially </w:t>
      </w:r>
      <w:r w:rsidR="0055735E" w:rsidRPr="00E75AEA">
        <w:t>similar</w:t>
      </w:r>
      <w:r w:rsidRPr="00E75AEA">
        <w:t xml:space="preserve"> effort.</w:t>
      </w:r>
      <w:r w:rsidR="006D01FE" w:rsidRPr="00E75AEA">
        <w:rPr>
          <w:rStyle w:val="FootnoteReference"/>
        </w:rPr>
        <w:footnoteReference w:id="13"/>
      </w:r>
    </w:p>
    <w:p w:rsidR="00575A1F" w:rsidRPr="00E75AEA" w:rsidRDefault="00575A1F" w:rsidP="00796E58">
      <w:pPr>
        <w:widowControl/>
        <w:spacing w:line="480" w:lineRule="auto"/>
        <w:ind w:left="720" w:firstLine="720"/>
        <w:jc w:val="both"/>
      </w:pPr>
      <w:r w:rsidRPr="00E75AEA">
        <w:rPr>
          <w:i/>
          <w:iCs/>
        </w:rPr>
        <w:lastRenderedPageBreak/>
        <w:t>Responsibility:</w:t>
      </w:r>
    </w:p>
    <w:p w:rsidR="00575A1F" w:rsidRPr="00E75AEA" w:rsidRDefault="00575A1F" w:rsidP="00796E58">
      <w:pPr>
        <w:widowControl/>
        <w:spacing w:line="480" w:lineRule="auto"/>
        <w:jc w:val="both"/>
      </w:pPr>
      <w:r w:rsidRPr="00E75AEA">
        <w:tab/>
        <w:t xml:space="preserve">In deciding whether the jobs involve substantially </w:t>
      </w:r>
      <w:r w:rsidR="0055735E" w:rsidRPr="00E75AEA">
        <w:t>similar</w:t>
      </w:r>
      <w:r w:rsidRPr="00E75AEA">
        <w:t xml:space="preserve"> “responsibility,” you should consider the degree of accountability expected by the employer for a person filling the jobs, as well as the amount of preparation required to perform the job duties. You should also take into account such things as the level of authority delegated to </w:t>
      </w:r>
      <w:r w:rsidR="00CD62CC" w:rsidRPr="00E75AEA">
        <w:t xml:space="preserve">the </w:t>
      </w:r>
      <w:r w:rsidRPr="00E75AEA">
        <w:t>plaintiff as compared to the employee(s)</w:t>
      </w:r>
      <w:r w:rsidR="00CD62CC" w:rsidRPr="00E75AEA">
        <w:t xml:space="preserve"> who are not [</w:t>
      </w:r>
      <w:r w:rsidR="00CD62CC" w:rsidRPr="00E75AEA">
        <w:rPr>
          <w:i/>
        </w:rPr>
        <w:t>insert protected class</w:t>
      </w:r>
      <w:r w:rsidR="00CD62CC" w:rsidRPr="00E75AEA">
        <w:t>]</w:t>
      </w:r>
      <w:r w:rsidRPr="00E75AEA">
        <w:t xml:space="preserve">, including whether </w:t>
      </w:r>
      <w:r w:rsidR="00CD62CC" w:rsidRPr="00E75AEA">
        <w:t xml:space="preserve">the </w:t>
      </w:r>
      <w:r w:rsidRPr="00E75AEA">
        <w:t xml:space="preserve">plaintiff and the </w:t>
      </w:r>
      <w:r w:rsidR="00CD62CC" w:rsidRPr="00E75AEA">
        <w:t>comparator</w:t>
      </w:r>
      <w:r w:rsidRPr="00E75AEA">
        <w:t xml:space="preserve"> employee(s) were </w:t>
      </w:r>
      <w:r w:rsidR="0055735E" w:rsidRPr="00E75AEA">
        <w:t>similar</w:t>
      </w:r>
      <w:r w:rsidRPr="00E75AEA">
        <w:t>ly expected to direct the work of others, or to represent defendant in dealing with customers or suppliers. Finally, you should consider the consequences to the employer of effective performance in the respective jobs.</w:t>
      </w:r>
      <w:r w:rsidR="00CD62CC" w:rsidRPr="00E75AEA">
        <w:rPr>
          <w:rStyle w:val="FootnoteReference"/>
        </w:rPr>
        <w:footnoteReference w:id="14"/>
      </w:r>
    </w:p>
    <w:p w:rsidR="00575A1F" w:rsidRPr="00E75AEA" w:rsidRDefault="00575A1F" w:rsidP="00796E58">
      <w:pPr>
        <w:widowControl/>
        <w:spacing w:line="480" w:lineRule="auto"/>
        <w:jc w:val="both"/>
      </w:pPr>
      <w:r w:rsidRPr="00E75AEA">
        <w:tab/>
      </w:r>
      <w:r w:rsidR="0038709C" w:rsidRPr="00E75AEA">
        <w:t>You should note that “skill,” “effort” and “responsibility” do not constitute separate tests, each of which must be met in order for the equal pay requirement to apply.  Rather, the plaintiff must only show by a preponderance of the evidence that [</w:t>
      </w:r>
      <w:r w:rsidR="0038709C" w:rsidRPr="00E75AEA">
        <w:rPr>
          <w:i/>
        </w:rPr>
        <w:t>he/she</w:t>
      </w:r>
      <w:r w:rsidR="0038709C" w:rsidRPr="00E75AEA">
        <w:t>] performed work that was substantially similar to the work performed by the employee(s) who is/are not [</w:t>
      </w:r>
      <w:r w:rsidR="0038709C" w:rsidRPr="00E75AEA">
        <w:rPr>
          <w:i/>
        </w:rPr>
        <w:t>insert protected class</w:t>
      </w:r>
      <w:r w:rsidR="0038709C" w:rsidRPr="00E75AEA">
        <w:t>] “when viewed as a composite of skill, effort and responsibility</w:t>
      </w:r>
      <w:r w:rsidR="001F5DD6" w:rsidRPr="00E75AEA">
        <w:rPr>
          <w:spacing w:val="-3"/>
        </w:rPr>
        <w:t>.</w:t>
      </w:r>
      <w:r w:rsidR="00CD62CC" w:rsidRPr="00E75AEA">
        <w:rPr>
          <w:spacing w:val="-3"/>
        </w:rPr>
        <w:t>”</w:t>
      </w:r>
      <w:r w:rsidR="008F5DBE" w:rsidRPr="00E75AEA">
        <w:rPr>
          <w:rStyle w:val="FootnoteReference"/>
          <w:spacing w:val="-3"/>
        </w:rPr>
        <w:footnoteReference w:id="15"/>
      </w:r>
    </w:p>
    <w:p w:rsidR="00575A1F" w:rsidRPr="00E75AEA" w:rsidRDefault="00575A1F" w:rsidP="00796E58">
      <w:pPr>
        <w:widowControl/>
        <w:spacing w:line="480" w:lineRule="auto"/>
        <w:ind w:left="720" w:firstLine="720"/>
        <w:jc w:val="both"/>
      </w:pPr>
      <w:r w:rsidRPr="00E75AEA">
        <w:rPr>
          <w:i/>
          <w:iCs/>
        </w:rPr>
        <w:lastRenderedPageBreak/>
        <w:t xml:space="preserve">Wage Comparison: </w:t>
      </w:r>
    </w:p>
    <w:p w:rsidR="004B5B2B" w:rsidRPr="00E75AEA" w:rsidRDefault="00575A1F" w:rsidP="00796E58">
      <w:pPr>
        <w:widowControl/>
        <w:spacing w:line="480" w:lineRule="auto"/>
        <w:jc w:val="both"/>
      </w:pPr>
      <w:r w:rsidRPr="00E75AEA">
        <w:tab/>
      </w:r>
      <w:r w:rsidR="0038709C" w:rsidRPr="00E75AEA">
        <w:t>With respect to the third element of the plaintiff’s claim, the plaintiff must prove that [</w:t>
      </w:r>
      <w:r w:rsidR="0038709C" w:rsidRPr="00E75AEA">
        <w:rPr>
          <w:i/>
        </w:rPr>
        <w:t>he/she</w:t>
      </w:r>
      <w:r w:rsidR="0038709C" w:rsidRPr="00E75AEA">
        <w:t>] was paid a lower wage than defendant paid to one of more of the employees doing substantially similar work who are not [</w:t>
      </w:r>
      <w:r w:rsidR="0038709C" w:rsidRPr="00E75AEA">
        <w:rPr>
          <w:i/>
        </w:rPr>
        <w:t>insert protected class</w:t>
      </w:r>
      <w:r w:rsidR="0038709C" w:rsidRPr="00E75AEA">
        <w:t>].  In deciding whether the plaintiff was paid less than (an) employee(s) who is/are not [</w:t>
      </w:r>
      <w:r w:rsidR="0038709C" w:rsidRPr="00E75AEA">
        <w:rPr>
          <w:i/>
        </w:rPr>
        <w:t>insert protected class</w:t>
      </w:r>
      <w:r w:rsidR="0038709C" w:rsidRPr="00E75AEA">
        <w:t>], you can consider how much the employer paid the other employee(s) for substantially similar work even if the comparator employee(s) worked in a different department or a different facility.</w:t>
      </w:r>
      <w:r w:rsidR="0038709C" w:rsidRPr="00E75AEA">
        <w:rPr>
          <w:rStyle w:val="FootnoteReference"/>
        </w:rPr>
        <w:footnoteReference w:id="16"/>
      </w:r>
      <w:r w:rsidR="0038709C" w:rsidRPr="00E75AEA">
        <w:t xml:space="preserve">  In comparing the plaintiff’s pay with other employees, you can look at the pay of employees who performed substantially similar work before, during the same time as or after the plaintiff</w:t>
      </w:r>
      <w:r w:rsidR="004B5B2B" w:rsidRPr="00E75AEA">
        <w:t>.</w:t>
      </w:r>
      <w:r w:rsidR="004B5B2B" w:rsidRPr="00E75AEA">
        <w:rPr>
          <w:rStyle w:val="FootnoteReference"/>
        </w:rPr>
        <w:footnoteReference w:id="17"/>
      </w:r>
    </w:p>
    <w:p w:rsidR="004B5B2B" w:rsidRPr="00E75AEA" w:rsidRDefault="0038709C" w:rsidP="00796E58">
      <w:pPr>
        <w:widowControl/>
        <w:spacing w:line="480" w:lineRule="auto"/>
        <w:ind w:firstLine="720"/>
        <w:jc w:val="both"/>
      </w:pPr>
      <w:r w:rsidRPr="00E75AEA">
        <w:t>The fact that another [</w:t>
      </w:r>
      <w:r w:rsidRPr="00E75AEA">
        <w:rPr>
          <w:i/>
        </w:rPr>
        <w:t>insert protected group</w:t>
      </w:r>
      <w:r w:rsidRPr="00E75AEA">
        <w:t>] employee is not a victim of unequal pay does not preclude the plaintiff from prevailing on [</w:t>
      </w:r>
      <w:r w:rsidRPr="00E75AEA">
        <w:rPr>
          <w:i/>
        </w:rPr>
        <w:t>his/her</w:t>
      </w:r>
      <w:r w:rsidRPr="00E75AEA">
        <w:t>] claim.</w:t>
      </w:r>
      <w:r w:rsidRPr="00E75AEA">
        <w:rPr>
          <w:rStyle w:val="FootnoteReference"/>
        </w:rPr>
        <w:footnoteReference w:id="18"/>
      </w:r>
      <w:r w:rsidRPr="00E75AEA">
        <w:t xml:space="preserve">  The plaintiff also does not have to show that the defendant paid [</w:t>
      </w:r>
      <w:r w:rsidRPr="00E75AEA">
        <w:rPr>
          <w:i/>
        </w:rPr>
        <w:t>him/her</w:t>
      </w:r>
      <w:r w:rsidRPr="00E75AEA">
        <w:t>] less for substantially similar work than it paid to each employee who is not [</w:t>
      </w:r>
      <w:r w:rsidRPr="00E75AEA">
        <w:rPr>
          <w:i/>
        </w:rPr>
        <w:t>insert protected class</w:t>
      </w:r>
      <w:r w:rsidRPr="00E75AEA">
        <w:t>]. As long as the plaintiff shows that the employer paid [</w:t>
      </w:r>
      <w:r w:rsidRPr="00E75AEA">
        <w:rPr>
          <w:i/>
        </w:rPr>
        <w:t>him/her</w:t>
      </w:r>
      <w:r w:rsidRPr="00E75AEA">
        <w:t xml:space="preserve">] less for </w:t>
      </w:r>
      <w:r w:rsidRPr="00E75AEA">
        <w:lastRenderedPageBreak/>
        <w:t>substantially similar work than a single employee who is not [</w:t>
      </w:r>
      <w:r w:rsidRPr="00E75AEA">
        <w:rPr>
          <w:i/>
        </w:rPr>
        <w:t>insert protected class</w:t>
      </w:r>
      <w:r w:rsidRPr="00E75AEA">
        <w:t>], you should find that plaintiff has met [</w:t>
      </w:r>
      <w:r w:rsidRPr="00E75AEA">
        <w:rPr>
          <w:i/>
        </w:rPr>
        <w:t>his/her</w:t>
      </w:r>
      <w:r w:rsidRPr="00E75AEA">
        <w:t>] burden of proving this element of [</w:t>
      </w:r>
      <w:r w:rsidRPr="00E75AEA">
        <w:rPr>
          <w:i/>
        </w:rPr>
        <w:t>his/her</w:t>
      </w:r>
      <w:r w:rsidRPr="00E75AEA">
        <w:t>] unequal pay claim</w:t>
      </w:r>
      <w:r w:rsidR="004B5B2B" w:rsidRPr="00E75AEA">
        <w:t>.</w:t>
      </w:r>
      <w:r w:rsidR="00054432" w:rsidRPr="00E75AEA">
        <w:rPr>
          <w:rStyle w:val="FootnoteReference"/>
        </w:rPr>
        <w:footnoteReference w:id="19"/>
      </w:r>
      <w:r w:rsidR="004B5B2B" w:rsidRPr="00E75AEA">
        <w:t xml:space="preserve"> </w:t>
      </w:r>
    </w:p>
    <w:p w:rsidR="00575A1F" w:rsidRPr="00E75AEA" w:rsidRDefault="00575A1F" w:rsidP="00796E58">
      <w:pPr>
        <w:widowControl/>
        <w:spacing w:line="480" w:lineRule="auto"/>
        <w:ind w:firstLine="720"/>
        <w:jc w:val="both"/>
      </w:pPr>
      <w:r w:rsidRPr="00E75AEA">
        <w:t xml:space="preserve">In determining the respective levels of pay, you are to consider all forms of compensation, whether called wages, salary, profit sharing, expense account, use of company car, gasoline allowance, or some other name. Fringe benefits are also included in the comparison of wages under the </w:t>
      </w:r>
      <w:r w:rsidR="004F19CE" w:rsidRPr="00E75AEA">
        <w:t>New Jersey Equal Pay Act</w:t>
      </w:r>
      <w:r w:rsidRPr="00E75AEA">
        <w:t>, as are vacation and holiday pay and overtime pay.</w:t>
      </w:r>
      <w:r w:rsidR="0009555A" w:rsidRPr="00E75AEA">
        <w:rPr>
          <w:rStyle w:val="FootnoteReference"/>
        </w:rPr>
        <w:footnoteReference w:id="20"/>
      </w:r>
    </w:p>
    <w:p w:rsidR="00092995" w:rsidRPr="00E75AEA" w:rsidRDefault="001F5DD6" w:rsidP="00796E58">
      <w:pPr>
        <w:widowControl/>
        <w:numPr>
          <w:ilvl w:val="0"/>
          <w:numId w:val="6"/>
        </w:numPr>
        <w:tabs>
          <w:tab w:val="left" w:pos="-720"/>
          <w:tab w:val="left" w:pos="720"/>
        </w:tabs>
        <w:spacing w:line="480" w:lineRule="auto"/>
        <w:ind w:left="1440" w:hanging="720"/>
        <w:jc w:val="both"/>
        <w:rPr>
          <w:b/>
          <w:spacing w:val="-3"/>
        </w:rPr>
      </w:pPr>
      <w:r w:rsidRPr="00E75AEA">
        <w:rPr>
          <w:b/>
          <w:spacing w:val="-3"/>
        </w:rPr>
        <w:t>Defendant’s Burden of Proof</w:t>
      </w:r>
    </w:p>
    <w:p w:rsidR="00DA2CAD" w:rsidRPr="00E75AEA" w:rsidRDefault="0038709C" w:rsidP="00796E58">
      <w:pPr>
        <w:widowControl/>
        <w:tabs>
          <w:tab w:val="left" w:pos="-720"/>
          <w:tab w:val="left" w:pos="0"/>
        </w:tabs>
        <w:jc w:val="center"/>
        <w:rPr>
          <w:b/>
          <w:i/>
          <w:spacing w:val="-3"/>
        </w:rPr>
      </w:pPr>
      <w:r w:rsidRPr="00E75AEA">
        <w:rPr>
          <w:b/>
          <w:i/>
          <w:spacing w:val="-3"/>
        </w:rPr>
        <w:t>NOTE TO JUDGE</w:t>
      </w:r>
    </w:p>
    <w:p w:rsidR="00B45C61" w:rsidRPr="00E75AEA" w:rsidRDefault="00B45C61" w:rsidP="00796E58">
      <w:pPr>
        <w:widowControl/>
        <w:tabs>
          <w:tab w:val="left" w:pos="-720"/>
          <w:tab w:val="left" w:pos="0"/>
        </w:tabs>
        <w:ind w:left="720" w:right="720"/>
        <w:jc w:val="center"/>
        <w:rPr>
          <w:spacing w:val="-3"/>
        </w:rPr>
      </w:pPr>
    </w:p>
    <w:p w:rsidR="00DA2CAD" w:rsidRPr="00E75AEA" w:rsidRDefault="00DA2CAD" w:rsidP="00796E58">
      <w:pPr>
        <w:widowControl/>
        <w:tabs>
          <w:tab w:val="left" w:pos="-720"/>
          <w:tab w:val="left" w:pos="0"/>
        </w:tabs>
        <w:ind w:left="720" w:right="720"/>
        <w:jc w:val="both"/>
        <w:rPr>
          <w:spacing w:val="-3"/>
        </w:rPr>
      </w:pPr>
      <w:r w:rsidRPr="00E75AEA">
        <w:rPr>
          <w:spacing w:val="-3"/>
        </w:rPr>
        <w:t xml:space="preserve">Under </w:t>
      </w:r>
      <w:r w:rsidRPr="00E75AEA">
        <w:rPr>
          <w:i/>
          <w:spacing w:val="-3"/>
        </w:rPr>
        <w:t>N.J.S.A.</w:t>
      </w:r>
      <w:r w:rsidRPr="00E75AEA">
        <w:rPr>
          <w:spacing w:val="-3"/>
        </w:rPr>
        <w:t xml:space="preserve"> 10:5-12(t), an employer who pays a member of a protected class less than employees who are outside the protected class is liable unless the employer can establish one of the </w:t>
      </w:r>
      <w:r w:rsidR="009909FD" w:rsidRPr="00E75AEA">
        <w:rPr>
          <w:spacing w:val="-3"/>
        </w:rPr>
        <w:t xml:space="preserve">three </w:t>
      </w:r>
      <w:r w:rsidRPr="00E75AEA">
        <w:rPr>
          <w:spacing w:val="-3"/>
        </w:rPr>
        <w:t xml:space="preserve">affirmative defenses identified in the statute.  </w:t>
      </w:r>
      <w:r w:rsidR="00EB506B" w:rsidRPr="00E75AEA">
        <w:rPr>
          <w:spacing w:val="-3"/>
        </w:rPr>
        <w:t xml:space="preserve">The employer </w:t>
      </w:r>
      <w:r w:rsidR="009909FD" w:rsidRPr="00E75AEA">
        <w:rPr>
          <w:spacing w:val="-3"/>
        </w:rPr>
        <w:t xml:space="preserve">may plead multiple affirmative </w:t>
      </w:r>
      <w:proofErr w:type="gramStart"/>
      <w:r w:rsidR="009909FD" w:rsidRPr="00E75AEA">
        <w:rPr>
          <w:spacing w:val="-3"/>
        </w:rPr>
        <w:t>defenses, but</w:t>
      </w:r>
      <w:proofErr w:type="gramEnd"/>
      <w:r w:rsidR="009909FD" w:rsidRPr="00E75AEA">
        <w:rPr>
          <w:spacing w:val="-3"/>
        </w:rPr>
        <w:t xml:space="preserve"> need only prove one to prevail. </w:t>
      </w:r>
      <w:r w:rsidRPr="00E75AEA">
        <w:rPr>
          <w:spacing w:val="-3"/>
        </w:rPr>
        <w:t xml:space="preserve">The jury should only be charged on the affirmative defense(s) </w:t>
      </w:r>
      <w:r w:rsidR="00806FE0" w:rsidRPr="00E75AEA">
        <w:rPr>
          <w:spacing w:val="-3"/>
        </w:rPr>
        <w:t xml:space="preserve">actually </w:t>
      </w:r>
      <w:r w:rsidR="00B23912" w:rsidRPr="00E75AEA">
        <w:rPr>
          <w:spacing w:val="-3"/>
        </w:rPr>
        <w:t>pled</w:t>
      </w:r>
      <w:r w:rsidRPr="00E75AEA">
        <w:rPr>
          <w:spacing w:val="-3"/>
        </w:rPr>
        <w:t xml:space="preserve"> by the employer.</w:t>
      </w:r>
    </w:p>
    <w:p w:rsidR="00DA2CAD" w:rsidRPr="00E75AEA" w:rsidRDefault="00DA2CAD" w:rsidP="00796E58">
      <w:pPr>
        <w:widowControl/>
        <w:tabs>
          <w:tab w:val="left" w:pos="-720"/>
          <w:tab w:val="left" w:pos="0"/>
        </w:tabs>
        <w:ind w:left="720" w:right="720"/>
        <w:jc w:val="both"/>
        <w:rPr>
          <w:spacing w:val="-3"/>
        </w:rPr>
      </w:pPr>
    </w:p>
    <w:p w:rsidR="008B21E4" w:rsidRDefault="008B21E4">
      <w:pPr>
        <w:widowControl/>
        <w:autoSpaceDE/>
        <w:autoSpaceDN/>
        <w:adjustRightInd/>
        <w:rPr>
          <w:b/>
          <w:spacing w:val="-3"/>
        </w:rPr>
      </w:pPr>
      <w:r>
        <w:rPr>
          <w:b/>
          <w:spacing w:val="-3"/>
        </w:rPr>
        <w:br w:type="page"/>
      </w:r>
    </w:p>
    <w:p w:rsidR="00B23912" w:rsidRPr="00E75AEA" w:rsidRDefault="00B23912" w:rsidP="00E72766">
      <w:pPr>
        <w:widowControl/>
        <w:numPr>
          <w:ilvl w:val="0"/>
          <w:numId w:val="8"/>
        </w:numPr>
        <w:tabs>
          <w:tab w:val="left" w:pos="-720"/>
          <w:tab w:val="left" w:pos="0"/>
        </w:tabs>
        <w:spacing w:line="480" w:lineRule="auto"/>
        <w:ind w:left="2160" w:hanging="720"/>
        <w:jc w:val="both"/>
        <w:rPr>
          <w:b/>
          <w:spacing w:val="-3"/>
        </w:rPr>
      </w:pPr>
      <w:r w:rsidRPr="00E75AEA">
        <w:rPr>
          <w:b/>
          <w:spacing w:val="-3"/>
        </w:rPr>
        <w:lastRenderedPageBreak/>
        <w:t>Seniority System</w:t>
      </w:r>
    </w:p>
    <w:p w:rsidR="00B45C61" w:rsidRPr="00E75AEA" w:rsidRDefault="00B23912" w:rsidP="00E72766">
      <w:pPr>
        <w:widowControl/>
        <w:tabs>
          <w:tab w:val="left" w:pos="-720"/>
          <w:tab w:val="left" w:pos="0"/>
        </w:tabs>
        <w:spacing w:line="480" w:lineRule="auto"/>
        <w:contextualSpacing/>
        <w:jc w:val="both"/>
      </w:pPr>
      <w:r w:rsidRPr="00E75AEA">
        <w:rPr>
          <w:spacing w:val="-3"/>
        </w:rPr>
        <w:tab/>
      </w:r>
      <w:r w:rsidR="00B45C61" w:rsidRPr="00E75AEA">
        <w:t>If the plaintiff has proved each of the three elements of [</w:t>
      </w:r>
      <w:r w:rsidR="00B45C61" w:rsidRPr="00E75AEA">
        <w:rPr>
          <w:i/>
        </w:rPr>
        <w:t>his/her</w:t>
      </w:r>
      <w:r w:rsidR="00B45C61" w:rsidRPr="00E75AEA">
        <w:t>] claim of unequal pay, you must find in the plaintiff’s favor unless the defendant proves by a preponderance of the evidence that the difference in compensation is the result of a valid seniority system.</w:t>
      </w:r>
    </w:p>
    <w:p w:rsidR="00B23912" w:rsidRPr="00E75AEA" w:rsidRDefault="00B45C61" w:rsidP="00796E58">
      <w:pPr>
        <w:widowControl/>
        <w:tabs>
          <w:tab w:val="left" w:pos="-720"/>
          <w:tab w:val="left" w:pos="0"/>
        </w:tabs>
        <w:spacing w:line="480" w:lineRule="auto"/>
        <w:jc w:val="both"/>
      </w:pPr>
      <w:r w:rsidRPr="00E75AEA">
        <w:tab/>
      </w:r>
      <w:r w:rsidR="00B23912" w:rsidRPr="00E75AEA">
        <w:t xml:space="preserve">In order to establish that a </w:t>
      </w:r>
      <w:r w:rsidR="00A22F36" w:rsidRPr="00E75AEA">
        <w:t xml:space="preserve">valid </w:t>
      </w:r>
      <w:r w:rsidR="00B23912" w:rsidRPr="00E75AEA">
        <w:t xml:space="preserve">seniority system exists, defendant must show that it uses a system that gives </w:t>
      </w:r>
      <w:proofErr w:type="spellStart"/>
      <w:r w:rsidR="00B23912" w:rsidRPr="00E75AEA">
        <w:t>employees</w:t>
      </w:r>
      <w:proofErr w:type="spellEnd"/>
      <w:r w:rsidR="00B23912" w:rsidRPr="00E75AEA">
        <w:t xml:space="preserve"> rights and benefits that improve the longer they work for defendant. </w:t>
      </w:r>
    </w:p>
    <w:p w:rsidR="00B23912" w:rsidRPr="00E75AEA" w:rsidRDefault="00B23912" w:rsidP="00796E58">
      <w:pPr>
        <w:widowControl/>
        <w:spacing w:line="480" w:lineRule="auto"/>
        <w:jc w:val="both"/>
      </w:pPr>
      <w:r w:rsidRPr="00E75AEA">
        <w:tab/>
        <w:t>In determining whether defendant has demonstrated a valid seniority system, you should consider that a valid seniority system ordinarily includes rules that</w:t>
      </w:r>
    </w:p>
    <w:p w:rsidR="008037FB" w:rsidRPr="00E75AEA" w:rsidRDefault="008037FB" w:rsidP="00796E58">
      <w:pPr>
        <w:pStyle w:val="ListParagraph"/>
        <w:widowControl/>
        <w:numPr>
          <w:ilvl w:val="0"/>
          <w:numId w:val="9"/>
        </w:numPr>
        <w:tabs>
          <w:tab w:val="left" w:pos="1080"/>
        </w:tabs>
        <w:jc w:val="both"/>
      </w:pPr>
      <w:r w:rsidRPr="00E75AEA">
        <w:t>define when the seniority time clock begins ticking;</w:t>
      </w:r>
    </w:p>
    <w:p w:rsidR="008037FB" w:rsidRPr="00E75AEA" w:rsidRDefault="008037FB" w:rsidP="00796E58">
      <w:pPr>
        <w:pStyle w:val="ListParagraph"/>
        <w:widowControl/>
        <w:tabs>
          <w:tab w:val="left" w:pos="1080"/>
        </w:tabs>
        <w:ind w:left="1080" w:hanging="360"/>
        <w:jc w:val="both"/>
      </w:pPr>
    </w:p>
    <w:p w:rsidR="008037FB" w:rsidRPr="00E75AEA" w:rsidRDefault="008037FB" w:rsidP="00796E58">
      <w:pPr>
        <w:pStyle w:val="ListParagraph"/>
        <w:widowControl/>
        <w:numPr>
          <w:ilvl w:val="0"/>
          <w:numId w:val="9"/>
        </w:numPr>
        <w:tabs>
          <w:tab w:val="left" w:pos="1080"/>
        </w:tabs>
        <w:jc w:val="both"/>
      </w:pPr>
      <w:r w:rsidRPr="00E75AEA">
        <w:t>specify how and when a particular person's seniority may be lost;</w:t>
      </w:r>
    </w:p>
    <w:p w:rsidR="008037FB" w:rsidRPr="00E75AEA" w:rsidRDefault="008037FB" w:rsidP="00796E58">
      <w:pPr>
        <w:pStyle w:val="ListParagraph"/>
        <w:widowControl/>
        <w:tabs>
          <w:tab w:val="left" w:pos="1080"/>
        </w:tabs>
        <w:ind w:left="1080" w:hanging="360"/>
        <w:jc w:val="both"/>
      </w:pPr>
    </w:p>
    <w:p w:rsidR="008037FB" w:rsidRPr="00E75AEA" w:rsidRDefault="008037FB" w:rsidP="00796E58">
      <w:pPr>
        <w:pStyle w:val="ListParagraph"/>
        <w:widowControl/>
        <w:numPr>
          <w:ilvl w:val="0"/>
          <w:numId w:val="9"/>
        </w:numPr>
        <w:tabs>
          <w:tab w:val="left" w:pos="1080"/>
        </w:tabs>
        <w:spacing w:line="480" w:lineRule="auto"/>
        <w:jc w:val="both"/>
      </w:pPr>
      <w:r w:rsidRPr="00E75AEA">
        <w:t xml:space="preserve">define which time will count toward the accrual of seniority and which will not; </w:t>
      </w:r>
    </w:p>
    <w:p w:rsidR="008037FB" w:rsidRPr="00E75AEA" w:rsidRDefault="008037FB" w:rsidP="00796E58">
      <w:pPr>
        <w:pStyle w:val="ListParagraph"/>
        <w:widowControl/>
        <w:numPr>
          <w:ilvl w:val="0"/>
          <w:numId w:val="9"/>
        </w:numPr>
        <w:tabs>
          <w:tab w:val="left" w:pos="1080"/>
        </w:tabs>
        <w:spacing w:line="480" w:lineRule="auto"/>
        <w:jc w:val="both"/>
      </w:pPr>
      <w:r w:rsidRPr="00E75AEA">
        <w:t>specify the types of employment conditions that will be governed by seniority and those that will not.</w:t>
      </w:r>
    </w:p>
    <w:p w:rsidR="00B23912" w:rsidRPr="00E75AEA" w:rsidRDefault="00B23912" w:rsidP="00796E58">
      <w:pPr>
        <w:widowControl/>
        <w:spacing w:line="480" w:lineRule="auto"/>
        <w:jc w:val="both"/>
      </w:pPr>
      <w:r w:rsidRPr="00E75AEA">
        <w:tab/>
        <w:t>For defendant to successfully demonstrate a valid seniority system, defendant must regularly consider seniority rather than doing so randomly or on a case-by-case basis, and defendant must apply its system uniformly in its decisions.</w:t>
      </w:r>
    </w:p>
    <w:p w:rsidR="00B23912" w:rsidRPr="00E75AEA" w:rsidRDefault="00B23912" w:rsidP="00796E58">
      <w:pPr>
        <w:widowControl/>
        <w:spacing w:line="480" w:lineRule="auto"/>
        <w:jc w:val="both"/>
      </w:pPr>
      <w:r w:rsidRPr="00E75AEA">
        <w:lastRenderedPageBreak/>
        <w:tab/>
        <w:t>Plaintiff contends that defendant’s seniority system was not valid, but rather was a pretext, or excuse, for paying higher wages to employees who are not [</w:t>
      </w:r>
      <w:r w:rsidRPr="00E75AEA">
        <w:rPr>
          <w:i/>
        </w:rPr>
        <w:t>insert protected class</w:t>
      </w:r>
      <w:r w:rsidRPr="00E75AEA">
        <w:t xml:space="preserve">] for equal work. Remember that plaintiff does not have to prove that defendant intended to discriminate. However, evidence of intent to discriminate may be considered in determining whether defendant’s seniority system was implemented in good faith or instead was a cover-up for paying higher wages to </w:t>
      </w:r>
      <w:r w:rsidR="00A22F36" w:rsidRPr="00E75AEA">
        <w:t>employees who are not [</w:t>
      </w:r>
      <w:r w:rsidR="00A22F36" w:rsidRPr="00E75AEA">
        <w:rPr>
          <w:i/>
        </w:rPr>
        <w:t>insert protected class</w:t>
      </w:r>
      <w:r w:rsidR="00A22F36" w:rsidRPr="00E75AEA">
        <w:t>]</w:t>
      </w:r>
      <w:r w:rsidRPr="00E75AEA">
        <w:t xml:space="preserve"> for equal work. </w:t>
      </w:r>
    </w:p>
    <w:p w:rsidR="00B23912" w:rsidRPr="00E75AEA" w:rsidRDefault="00B23912" w:rsidP="00796E58">
      <w:pPr>
        <w:widowControl/>
        <w:spacing w:line="480" w:lineRule="auto"/>
        <w:jc w:val="both"/>
      </w:pPr>
      <w:r w:rsidRPr="00E75AEA">
        <w:tab/>
        <w:t>If you find defendant has proved by a preponderance of the evidence that the difference in pay was the result of a valid seniority system, your verdict must be for defendant. If defendant has not proved this defense, then you must find for plaintiff.</w:t>
      </w:r>
      <w:r w:rsidRPr="00E75AEA">
        <w:rPr>
          <w:rStyle w:val="FootnoteReference"/>
        </w:rPr>
        <w:footnoteReference w:id="21"/>
      </w:r>
    </w:p>
    <w:p w:rsidR="00B23912" w:rsidRPr="00E75AEA" w:rsidRDefault="00B23912" w:rsidP="00796E58">
      <w:pPr>
        <w:widowControl/>
        <w:numPr>
          <w:ilvl w:val="0"/>
          <w:numId w:val="8"/>
        </w:numPr>
        <w:tabs>
          <w:tab w:val="left" w:pos="-720"/>
          <w:tab w:val="left" w:pos="0"/>
        </w:tabs>
        <w:spacing w:line="480" w:lineRule="auto"/>
        <w:ind w:left="2160" w:hanging="720"/>
        <w:jc w:val="both"/>
        <w:rPr>
          <w:b/>
          <w:spacing w:val="-3"/>
        </w:rPr>
      </w:pPr>
      <w:r w:rsidRPr="00E75AEA">
        <w:rPr>
          <w:b/>
          <w:spacing w:val="-3"/>
        </w:rPr>
        <w:t>Merit system</w:t>
      </w:r>
    </w:p>
    <w:p w:rsidR="00B053FD" w:rsidRDefault="00B23912" w:rsidP="00796E58">
      <w:pPr>
        <w:widowControl/>
        <w:spacing w:line="480" w:lineRule="auto"/>
        <w:jc w:val="both"/>
        <w:rPr>
          <w:spacing w:val="-3"/>
        </w:rPr>
      </w:pPr>
      <w:r w:rsidRPr="00E75AEA">
        <w:rPr>
          <w:spacing w:val="-3"/>
        </w:rPr>
        <w:tab/>
      </w:r>
      <w:r w:rsidR="005E0EE6" w:rsidRPr="00E75AEA">
        <w:rPr>
          <w:spacing w:val="-3"/>
        </w:rPr>
        <w:t>If the plaintiff has proved each of the three elements</w:t>
      </w:r>
      <w:r w:rsidR="000A4B07" w:rsidRPr="00E75AEA">
        <w:rPr>
          <w:spacing w:val="-3"/>
        </w:rPr>
        <w:t xml:space="preserve"> </w:t>
      </w:r>
      <w:r w:rsidR="00A22F36" w:rsidRPr="00E75AEA">
        <w:rPr>
          <w:spacing w:val="-3"/>
        </w:rPr>
        <w:t>of</w:t>
      </w:r>
      <w:r w:rsidR="005E0EE6" w:rsidRPr="00E75AEA">
        <w:rPr>
          <w:spacing w:val="-3"/>
        </w:rPr>
        <w:t xml:space="preserve"> his/her claim of unequal pay, you must find in the plaintiff’s favor unless the defendant proves by a preponderance of the evidence that the difference in compensation is the result of a merit system.</w:t>
      </w:r>
    </w:p>
    <w:p w:rsidR="005E0EE6" w:rsidRPr="00E75AEA" w:rsidRDefault="005E0EE6" w:rsidP="00796E58">
      <w:pPr>
        <w:widowControl/>
        <w:spacing w:line="480" w:lineRule="auto"/>
        <w:jc w:val="both"/>
      </w:pPr>
      <w:r w:rsidRPr="00E75AEA">
        <w:lastRenderedPageBreak/>
        <w:tab/>
        <w:t xml:space="preserve">In order to establish the existence of a valid merit system, defendant must show an organized and structured procedure under which employees are systematically evaluated according to established standards that are designed to determine the relative merits of the employees. To be a valid merit system, the system must reward persons because they performed better; the reward must not be based upon their positions, but upon their personal performance.  In order to be valid, defendant must inform its employees of the existence of the merit system, either by writing or in some other way, and it must not be based upon </w:t>
      </w:r>
      <w:r w:rsidR="000A4B07" w:rsidRPr="00E75AEA">
        <w:t>discriminatory criteria</w:t>
      </w:r>
      <w:r w:rsidRPr="00E75AEA">
        <w:t>.</w:t>
      </w:r>
    </w:p>
    <w:p w:rsidR="005E0EE6" w:rsidRPr="00E75AEA" w:rsidRDefault="005E0EE6" w:rsidP="00796E58">
      <w:pPr>
        <w:widowControl/>
        <w:spacing w:line="480" w:lineRule="auto"/>
        <w:jc w:val="both"/>
      </w:pPr>
      <w:r w:rsidRPr="00E75AEA">
        <w:tab/>
        <w:t>Plaintiff contends that defendant’s merit system was not valid, but rather was a pretext, or excuse, for paying higher wages to employees who are not [</w:t>
      </w:r>
      <w:r w:rsidRPr="00E75AEA">
        <w:rPr>
          <w:i/>
        </w:rPr>
        <w:t>insert protected class</w:t>
      </w:r>
      <w:r w:rsidRPr="00E75AEA">
        <w:t xml:space="preserve">] for equal work. Remember that plaintiff does not have to prove that defendant intended to discriminate. However, evidence of intent to discriminate may be considered in determining whether defendant’s merit system was implemented in good faith or instead was a cover-up for paying higher wages to </w:t>
      </w:r>
      <w:r w:rsidR="00A22F36" w:rsidRPr="00E75AEA">
        <w:t>employees who are not [</w:t>
      </w:r>
      <w:r w:rsidR="00A22F36" w:rsidRPr="00E75AEA">
        <w:rPr>
          <w:i/>
        </w:rPr>
        <w:t>insert protected class</w:t>
      </w:r>
      <w:r w:rsidR="00A22F36" w:rsidRPr="00E75AEA">
        <w:t xml:space="preserve">] </w:t>
      </w:r>
      <w:r w:rsidRPr="00E75AEA">
        <w:t>for equal work.</w:t>
      </w:r>
      <w:r w:rsidR="003934DA" w:rsidRPr="00E75AEA">
        <w:rPr>
          <w:rStyle w:val="FootnoteReference"/>
        </w:rPr>
        <w:footnoteReference w:id="22"/>
      </w:r>
    </w:p>
    <w:p w:rsidR="005E0EE6" w:rsidRPr="00E75AEA" w:rsidRDefault="005E0EE6" w:rsidP="00796E58">
      <w:pPr>
        <w:widowControl/>
        <w:spacing w:line="480" w:lineRule="auto"/>
        <w:jc w:val="both"/>
      </w:pPr>
      <w:r w:rsidRPr="00E75AEA">
        <w:tab/>
        <w:t>If you find defendant has proved by a preponderance of the evidence that the difference in pay was the result of a valid merit system, your verdict must be for defendant. If defendant has not proved this defense, then you must find for plaintiff.</w:t>
      </w:r>
    </w:p>
    <w:p w:rsidR="00B23912" w:rsidRPr="00E75AEA" w:rsidRDefault="005E0EE6" w:rsidP="00796E58">
      <w:pPr>
        <w:widowControl/>
        <w:numPr>
          <w:ilvl w:val="0"/>
          <w:numId w:val="8"/>
        </w:numPr>
        <w:tabs>
          <w:tab w:val="left" w:pos="-720"/>
          <w:tab w:val="left" w:pos="0"/>
        </w:tabs>
        <w:spacing w:line="480" w:lineRule="auto"/>
        <w:ind w:left="2160" w:hanging="720"/>
        <w:jc w:val="both"/>
        <w:rPr>
          <w:b/>
          <w:spacing w:val="-3"/>
        </w:rPr>
      </w:pPr>
      <w:r w:rsidRPr="00E75AEA">
        <w:rPr>
          <w:b/>
          <w:spacing w:val="-3"/>
        </w:rPr>
        <w:lastRenderedPageBreak/>
        <w:t xml:space="preserve">Legitimate, Non-discriminatory </w:t>
      </w:r>
      <w:r w:rsidR="004327CB" w:rsidRPr="00E75AEA">
        <w:rPr>
          <w:b/>
          <w:spacing w:val="-3"/>
        </w:rPr>
        <w:t>Factor</w:t>
      </w:r>
    </w:p>
    <w:p w:rsidR="00092995" w:rsidRPr="00E75AEA" w:rsidRDefault="005E0EE6" w:rsidP="00796E58">
      <w:pPr>
        <w:widowControl/>
        <w:tabs>
          <w:tab w:val="left" w:pos="-720"/>
          <w:tab w:val="left" w:pos="0"/>
        </w:tabs>
        <w:spacing w:line="480" w:lineRule="auto"/>
        <w:jc w:val="both"/>
        <w:rPr>
          <w:spacing w:val="-3"/>
        </w:rPr>
      </w:pPr>
      <w:r w:rsidRPr="00E75AEA">
        <w:rPr>
          <w:spacing w:val="-3"/>
        </w:rPr>
        <w:tab/>
        <w:t>If the plaintiff has proved each of the three elements</w:t>
      </w:r>
      <w:r w:rsidR="00A22F36" w:rsidRPr="00E75AEA">
        <w:rPr>
          <w:spacing w:val="-3"/>
        </w:rPr>
        <w:t xml:space="preserve"> of </w:t>
      </w:r>
      <w:r w:rsidRPr="00E75AEA">
        <w:rPr>
          <w:spacing w:val="-3"/>
        </w:rPr>
        <w:t>his/her claim of unequal pay, you must find in the plaintiff’s favor unless the defendant proves by a preponderance of the evidence that</w:t>
      </w:r>
      <w:r w:rsidR="00643609" w:rsidRPr="00E75AEA">
        <w:rPr>
          <w:spacing w:val="-3"/>
        </w:rPr>
        <w:t>:</w:t>
      </w:r>
    </w:p>
    <w:p w:rsidR="00643609" w:rsidRPr="00E75AEA" w:rsidRDefault="00643609" w:rsidP="00796E58">
      <w:pPr>
        <w:widowControl/>
        <w:numPr>
          <w:ilvl w:val="0"/>
          <w:numId w:val="7"/>
        </w:numPr>
        <w:tabs>
          <w:tab w:val="left" w:pos="-720"/>
          <w:tab w:val="left" w:pos="0"/>
        </w:tabs>
        <w:spacing w:line="480" w:lineRule="auto"/>
        <w:jc w:val="both"/>
        <w:rPr>
          <w:shd w:val="clear" w:color="auto" w:fill="FFFFFF"/>
        </w:rPr>
      </w:pPr>
      <w:r w:rsidRPr="00E75AEA">
        <w:rPr>
          <w:shd w:val="clear" w:color="auto" w:fill="FFFFFF"/>
        </w:rPr>
        <w:t>The differential is based on one or more legitimate, bona fide factors other than the characteristics of members of the protected class, such as training, education or experience, or the quantity or quality of production;</w:t>
      </w:r>
    </w:p>
    <w:p w:rsidR="00643609" w:rsidRPr="00E75AEA" w:rsidRDefault="00643609" w:rsidP="00796E58">
      <w:pPr>
        <w:widowControl/>
        <w:numPr>
          <w:ilvl w:val="0"/>
          <w:numId w:val="7"/>
        </w:numPr>
        <w:tabs>
          <w:tab w:val="left" w:pos="-720"/>
          <w:tab w:val="left" w:pos="0"/>
        </w:tabs>
        <w:spacing w:line="480" w:lineRule="auto"/>
        <w:jc w:val="both"/>
        <w:rPr>
          <w:spacing w:val="-3"/>
        </w:rPr>
      </w:pPr>
      <w:r w:rsidRPr="00E75AEA">
        <w:rPr>
          <w:shd w:val="clear" w:color="auto" w:fill="FFFFFF"/>
        </w:rPr>
        <w:t>The factor or factors are not based on, and do not perpetuate, a differential in compensation based on any characteristic of members of a protected class;</w:t>
      </w:r>
    </w:p>
    <w:p w:rsidR="00643609" w:rsidRPr="00E75AEA" w:rsidRDefault="00643609" w:rsidP="00796E58">
      <w:pPr>
        <w:widowControl/>
        <w:numPr>
          <w:ilvl w:val="0"/>
          <w:numId w:val="7"/>
        </w:numPr>
        <w:tabs>
          <w:tab w:val="left" w:pos="-720"/>
          <w:tab w:val="left" w:pos="0"/>
        </w:tabs>
        <w:spacing w:line="480" w:lineRule="auto"/>
        <w:jc w:val="both"/>
        <w:rPr>
          <w:spacing w:val="-3"/>
        </w:rPr>
      </w:pPr>
      <w:r w:rsidRPr="00E75AEA">
        <w:rPr>
          <w:spacing w:val="-3"/>
        </w:rPr>
        <w:t>E</w:t>
      </w:r>
      <w:r w:rsidRPr="00E75AEA">
        <w:rPr>
          <w:shd w:val="clear" w:color="auto" w:fill="FFFFFF"/>
        </w:rPr>
        <w:t>ach of the factors is applied reasonably;</w:t>
      </w:r>
    </w:p>
    <w:p w:rsidR="00643609" w:rsidRPr="00E75AEA" w:rsidRDefault="00643609" w:rsidP="00796E58">
      <w:pPr>
        <w:widowControl/>
        <w:numPr>
          <w:ilvl w:val="0"/>
          <w:numId w:val="7"/>
        </w:numPr>
        <w:tabs>
          <w:tab w:val="left" w:pos="-720"/>
          <w:tab w:val="left" w:pos="0"/>
        </w:tabs>
        <w:spacing w:line="480" w:lineRule="auto"/>
        <w:jc w:val="both"/>
        <w:rPr>
          <w:spacing w:val="-3"/>
        </w:rPr>
      </w:pPr>
      <w:r w:rsidRPr="00E75AEA">
        <w:rPr>
          <w:shd w:val="clear" w:color="auto" w:fill="FFFFFF"/>
        </w:rPr>
        <w:t xml:space="preserve">One or more of the factors </w:t>
      </w:r>
      <w:proofErr w:type="gramStart"/>
      <w:r w:rsidRPr="00E75AEA">
        <w:rPr>
          <w:shd w:val="clear" w:color="auto" w:fill="FFFFFF"/>
        </w:rPr>
        <w:t>account</w:t>
      </w:r>
      <w:proofErr w:type="gramEnd"/>
      <w:r w:rsidRPr="00E75AEA">
        <w:rPr>
          <w:shd w:val="clear" w:color="auto" w:fill="FFFFFF"/>
        </w:rPr>
        <w:t xml:space="preserve"> for the entire wage differential; and</w:t>
      </w:r>
      <w:r w:rsidRPr="00E75AEA">
        <w:rPr>
          <w:spacing w:val="-3"/>
        </w:rPr>
        <w:t xml:space="preserve">, </w:t>
      </w:r>
    </w:p>
    <w:p w:rsidR="00643609" w:rsidRPr="00E75AEA" w:rsidRDefault="00643609" w:rsidP="00796E58">
      <w:pPr>
        <w:widowControl/>
        <w:numPr>
          <w:ilvl w:val="0"/>
          <w:numId w:val="7"/>
        </w:numPr>
        <w:tabs>
          <w:tab w:val="left" w:pos="-720"/>
          <w:tab w:val="left" w:pos="0"/>
        </w:tabs>
        <w:spacing w:line="480" w:lineRule="auto"/>
        <w:jc w:val="both"/>
        <w:rPr>
          <w:spacing w:val="-3"/>
        </w:rPr>
      </w:pPr>
      <w:r w:rsidRPr="00E75AEA">
        <w:rPr>
          <w:spacing w:val="-3"/>
        </w:rPr>
        <w:t>T</w:t>
      </w:r>
      <w:r w:rsidRPr="00E75AEA">
        <w:rPr>
          <w:shd w:val="clear" w:color="auto" w:fill="FFFFFF"/>
        </w:rPr>
        <w:t>he factors are job-related with respect to the position in question and based on a legitimate business necessity.</w:t>
      </w:r>
      <w:r w:rsidR="003934DA" w:rsidRPr="00E75AEA">
        <w:rPr>
          <w:shd w:val="clear" w:color="auto" w:fill="FFFFFF"/>
        </w:rPr>
        <w:t xml:space="preserve"> A factor is not deemed to be based on a legitimate business necessity if it is demonstrated there are alternative business practices that would serve the same business purpose without producing the wage differential.</w:t>
      </w:r>
      <w:r w:rsidR="003934DA" w:rsidRPr="00E75AEA">
        <w:rPr>
          <w:rStyle w:val="FootnoteReference"/>
          <w:shd w:val="clear" w:color="auto" w:fill="FFFFFF"/>
        </w:rPr>
        <w:footnoteReference w:id="23"/>
      </w:r>
    </w:p>
    <w:p w:rsidR="00092995" w:rsidRPr="00E75AEA" w:rsidRDefault="008F5DBE" w:rsidP="00796E58">
      <w:pPr>
        <w:widowControl/>
        <w:tabs>
          <w:tab w:val="left" w:pos="-720"/>
          <w:tab w:val="left" w:pos="0"/>
        </w:tabs>
        <w:spacing w:line="480" w:lineRule="auto"/>
        <w:jc w:val="both"/>
      </w:pPr>
      <w:r w:rsidRPr="00E75AEA">
        <w:rPr>
          <w:spacing w:val="-3"/>
        </w:rPr>
        <w:lastRenderedPageBreak/>
        <w:tab/>
      </w:r>
      <w:r w:rsidR="00092995" w:rsidRPr="00E75AEA">
        <w:rPr>
          <w:spacing w:val="-3"/>
        </w:rPr>
        <w:t xml:space="preserve">If defendant proves </w:t>
      </w:r>
      <w:r w:rsidR="003934DA" w:rsidRPr="00E75AEA">
        <w:rPr>
          <w:spacing w:val="-3"/>
        </w:rPr>
        <w:t>all five elements of its</w:t>
      </w:r>
      <w:r w:rsidRPr="00E75AEA">
        <w:rPr>
          <w:spacing w:val="-3"/>
        </w:rPr>
        <w:t xml:space="preserve"> defense</w:t>
      </w:r>
      <w:r w:rsidR="00092995" w:rsidRPr="00E75AEA">
        <w:rPr>
          <w:spacing w:val="-3"/>
        </w:rPr>
        <w:t xml:space="preserve"> by a preponderance of the evidence, you must find in favor of defendant</w:t>
      </w:r>
      <w:r w:rsidR="003934DA" w:rsidRPr="00E75AEA">
        <w:rPr>
          <w:shd w:val="clear" w:color="auto" w:fill="FFFFFF"/>
        </w:rPr>
        <w:t>.</w:t>
      </w:r>
      <w:r w:rsidRPr="00E75AEA">
        <w:rPr>
          <w:spacing w:val="-3"/>
        </w:rPr>
        <w:t xml:space="preserve">  If the defendant fails to meet its burden of proof, you must find in favor of the plaintiff.</w:t>
      </w:r>
      <w:bookmarkStart w:id="2" w:name="a2_22F"/>
      <w:bookmarkEnd w:id="2"/>
    </w:p>
    <w:sectPr w:rsidR="00092995" w:rsidRPr="00E75AEA" w:rsidSect="00E276F0">
      <w:headerReference w:type="default" r:id="rId8"/>
      <w:endnotePr>
        <w:numFmt w:val="decimal"/>
      </w:endnotePr>
      <w:type w:val="continuous"/>
      <w:pgSz w:w="12240" w:h="15840" w:code="1"/>
      <w:pgMar w:top="1008"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B7A" w:rsidRDefault="00592B7A">
      <w:pPr>
        <w:widowControl/>
        <w:spacing w:line="20" w:lineRule="exact"/>
        <w:rPr>
          <w:sz w:val="20"/>
          <w:szCs w:val="24"/>
        </w:rPr>
      </w:pPr>
    </w:p>
  </w:endnote>
  <w:endnote w:type="continuationSeparator" w:id="0">
    <w:p w:rsidR="00592B7A" w:rsidRDefault="00592B7A">
      <w:r>
        <w:rPr>
          <w:sz w:val="20"/>
          <w:szCs w:val="24"/>
        </w:rPr>
        <w:t xml:space="preserve"> </w:t>
      </w:r>
    </w:p>
  </w:endnote>
  <w:endnote w:type="continuationNotice" w:id="1">
    <w:p w:rsidR="00592B7A" w:rsidRDefault="00592B7A">
      <w:r>
        <w:rPr>
          <w:sz w:val="20"/>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B7A" w:rsidRDefault="00592B7A">
      <w:r>
        <w:rPr>
          <w:sz w:val="20"/>
          <w:szCs w:val="24"/>
        </w:rPr>
        <w:separator/>
      </w:r>
    </w:p>
  </w:footnote>
  <w:footnote w:type="continuationSeparator" w:id="0">
    <w:p w:rsidR="00592B7A" w:rsidRDefault="00592B7A">
      <w:r>
        <w:continuationSeparator/>
      </w:r>
    </w:p>
  </w:footnote>
  <w:footnote w:id="1">
    <w:p w:rsidR="00153F49" w:rsidRPr="004006B1" w:rsidRDefault="00153F49" w:rsidP="004006B1">
      <w:pPr>
        <w:widowControl/>
        <w:autoSpaceDE/>
        <w:autoSpaceDN/>
        <w:adjustRightInd/>
        <w:jc w:val="both"/>
        <w:rPr>
          <w:sz w:val="24"/>
          <w:szCs w:val="24"/>
        </w:rPr>
      </w:pPr>
      <w:r w:rsidRPr="004006B1">
        <w:rPr>
          <w:rStyle w:val="FootnoteReference"/>
          <w:sz w:val="24"/>
          <w:szCs w:val="24"/>
        </w:rPr>
        <w:footnoteRef/>
      </w:r>
      <w:r w:rsidRPr="004006B1">
        <w:rPr>
          <w:sz w:val="24"/>
          <w:szCs w:val="24"/>
        </w:rPr>
        <w:t xml:space="preserve"> </w:t>
      </w:r>
      <w:r w:rsidR="00E3791D">
        <w:rPr>
          <w:sz w:val="24"/>
          <w:szCs w:val="24"/>
        </w:rPr>
        <w:t xml:space="preserve"> </w:t>
      </w:r>
      <w:r w:rsidRPr="004006B1">
        <w:rPr>
          <w:i/>
          <w:sz w:val="24"/>
          <w:szCs w:val="24"/>
        </w:rPr>
        <w:t>N.J.S.A.</w:t>
      </w:r>
      <w:r w:rsidRPr="004006B1">
        <w:rPr>
          <w:sz w:val="24"/>
          <w:szCs w:val="24"/>
        </w:rPr>
        <w:t xml:space="preserve"> 10:5-12(t) states : “</w:t>
      </w:r>
      <w:r w:rsidRPr="004006B1">
        <w:rPr>
          <w:sz w:val="24"/>
          <w:szCs w:val="24"/>
          <w:shd w:val="clear" w:color="auto" w:fill="FFFFFF"/>
        </w:rPr>
        <w:t xml:space="preserve">For the purposes of this subsection, </w:t>
      </w:r>
      <w:r w:rsidR="00F70F86" w:rsidRPr="004006B1">
        <w:rPr>
          <w:sz w:val="24"/>
          <w:szCs w:val="24"/>
          <w:shd w:val="clear" w:color="auto" w:fill="FFFFFF"/>
        </w:rPr>
        <w:t>‘</w:t>
      </w:r>
      <w:r w:rsidRPr="004006B1">
        <w:rPr>
          <w:sz w:val="24"/>
          <w:szCs w:val="24"/>
          <w:shd w:val="clear" w:color="auto" w:fill="FFFFFF"/>
        </w:rPr>
        <w:t>member of a protected class</w:t>
      </w:r>
      <w:r w:rsidR="00F70F86" w:rsidRPr="004006B1">
        <w:rPr>
          <w:sz w:val="24"/>
          <w:szCs w:val="24"/>
          <w:shd w:val="clear" w:color="auto" w:fill="FFFFFF"/>
        </w:rPr>
        <w:t>’</w:t>
      </w:r>
      <w:r w:rsidRPr="004006B1">
        <w:rPr>
          <w:sz w:val="24"/>
          <w:szCs w:val="24"/>
          <w:shd w:val="clear" w:color="auto" w:fill="FFFFFF"/>
        </w:rPr>
        <w:t xml:space="preserve"> means an employee who has one or more characteristics, including race, creed, color, national origin, nationality, ancestry, age, marital status, civil union status, domestic partnership status, affectional or sexual orientation, genetic information, pregnancy, sex, gender identity or expression, disability or atypical hereditary cellular or blood trait of any individual, or liability for service in the armed forces, for which subsection a. of this section prohibits an employer from refusing to hire or employ or barring or discharging or requiring to retire from employment or discriminating against the individual in compensation or in terms, conditions or privileges of employment.”</w:t>
      </w:r>
    </w:p>
    <w:p w:rsidR="00153F49" w:rsidRPr="004006B1" w:rsidRDefault="00153F49" w:rsidP="004006B1">
      <w:pPr>
        <w:pStyle w:val="FootnoteText"/>
        <w:jc w:val="both"/>
        <w:rPr>
          <w:sz w:val="24"/>
        </w:rPr>
      </w:pPr>
    </w:p>
  </w:footnote>
  <w:footnote w:id="2">
    <w:p w:rsidR="00C043F7" w:rsidRPr="004006B1" w:rsidRDefault="00C043F7" w:rsidP="004006B1">
      <w:pPr>
        <w:pStyle w:val="FootnoteText"/>
        <w:jc w:val="both"/>
        <w:rPr>
          <w:sz w:val="24"/>
        </w:rPr>
      </w:pPr>
      <w:r w:rsidRPr="004006B1">
        <w:rPr>
          <w:rStyle w:val="FootnoteReference"/>
          <w:sz w:val="24"/>
        </w:rPr>
        <w:footnoteRef/>
      </w:r>
      <w:r w:rsidRPr="004006B1">
        <w:rPr>
          <w:sz w:val="24"/>
        </w:rPr>
        <w:t xml:space="preserve"> </w:t>
      </w:r>
      <w:r w:rsidR="00F41A20" w:rsidRPr="004006B1">
        <w:rPr>
          <w:sz w:val="24"/>
        </w:rPr>
        <w:t xml:space="preserve"> </w:t>
      </w:r>
      <w:r w:rsidRPr="004006B1">
        <w:rPr>
          <w:i/>
          <w:sz w:val="24"/>
        </w:rPr>
        <w:t>Grigoletti v. Ortho Pharmaceutical Corp.</w:t>
      </w:r>
      <w:r w:rsidRPr="004006B1">
        <w:rPr>
          <w:sz w:val="24"/>
        </w:rPr>
        <w:t xml:space="preserve">, 118 </w:t>
      </w:r>
      <w:r w:rsidRPr="004006B1">
        <w:rPr>
          <w:i/>
          <w:sz w:val="24"/>
        </w:rPr>
        <w:t>N.J.</w:t>
      </w:r>
      <w:r w:rsidRPr="004006B1">
        <w:rPr>
          <w:sz w:val="24"/>
        </w:rPr>
        <w:t xml:space="preserve"> 89, 10</w:t>
      </w:r>
      <w:r w:rsidR="006D01FE" w:rsidRPr="004006B1">
        <w:rPr>
          <w:sz w:val="24"/>
        </w:rPr>
        <w:t>8-110</w:t>
      </w:r>
      <w:r w:rsidRPr="004006B1">
        <w:rPr>
          <w:sz w:val="24"/>
        </w:rPr>
        <w:t xml:space="preserve"> (1990); </w:t>
      </w:r>
      <w:r w:rsidRPr="004006B1">
        <w:rPr>
          <w:i/>
          <w:sz w:val="24"/>
        </w:rPr>
        <w:t>see also</w:t>
      </w:r>
      <w:r w:rsidRPr="004006B1">
        <w:rPr>
          <w:sz w:val="24"/>
        </w:rPr>
        <w:t xml:space="preserve"> </w:t>
      </w:r>
      <w:r w:rsidRPr="004006B1">
        <w:rPr>
          <w:i/>
          <w:sz w:val="24"/>
        </w:rPr>
        <w:t>EEOC v. Delaware Dept. of Health and Social Services</w:t>
      </w:r>
      <w:r w:rsidRPr="004006B1">
        <w:rPr>
          <w:sz w:val="24"/>
        </w:rPr>
        <w:t>, 865 F.2d 1408 (3d Cir. 1989)</w:t>
      </w:r>
      <w:r w:rsidR="006D01FE" w:rsidRPr="004006B1">
        <w:rPr>
          <w:sz w:val="24"/>
        </w:rPr>
        <w:t xml:space="preserve"> (interpreting Equal Pay Act)</w:t>
      </w:r>
      <w:r w:rsidRPr="004006B1">
        <w:rPr>
          <w:sz w:val="24"/>
        </w:rPr>
        <w:t>; Third Circuit Court of Appeals Model Civil Jury Instruction 11.1.1. (October 2018)</w:t>
      </w:r>
      <w:r w:rsidR="00E04D89" w:rsidRPr="004006B1">
        <w:rPr>
          <w:sz w:val="24"/>
        </w:rPr>
        <w:t>; Federal Jury Instructions of the Seventh Circuit 5.09 (2017 rev.);</w:t>
      </w:r>
      <w:r w:rsidR="00766610" w:rsidRPr="004006B1">
        <w:rPr>
          <w:sz w:val="24"/>
        </w:rPr>
        <w:t xml:space="preserve"> </w:t>
      </w:r>
      <w:r w:rsidR="002A75C3" w:rsidRPr="004006B1">
        <w:rPr>
          <w:sz w:val="24"/>
        </w:rPr>
        <w:t xml:space="preserve">Eleventh Circuit </w:t>
      </w:r>
      <w:r w:rsidR="00AD6D0A" w:rsidRPr="004006B1">
        <w:rPr>
          <w:sz w:val="24"/>
        </w:rPr>
        <w:t>Civil Pattern Jury Instruction</w:t>
      </w:r>
      <w:r w:rsidR="002A75C3" w:rsidRPr="004006B1">
        <w:rPr>
          <w:sz w:val="24"/>
        </w:rPr>
        <w:t xml:space="preserve"> 4.13</w:t>
      </w:r>
      <w:r w:rsidR="00AD6D0A" w:rsidRPr="004006B1">
        <w:rPr>
          <w:sz w:val="24"/>
        </w:rPr>
        <w:t xml:space="preserve"> (2013)</w:t>
      </w:r>
      <w:r w:rsidRPr="004006B1">
        <w:rPr>
          <w:sz w:val="24"/>
        </w:rPr>
        <w:t>.</w:t>
      </w:r>
      <w:r w:rsidR="00CD62CC" w:rsidRPr="004006B1">
        <w:rPr>
          <w:sz w:val="24"/>
        </w:rPr>
        <w:t xml:space="preserve">  Federal cases interpreting the Equal Pay Act (EPA) are instructive as the Supreme Court has held that “in a case brought under the LAD presenting a gender</w:t>
      </w:r>
      <w:r w:rsidR="00AD6D0A" w:rsidRPr="004006B1">
        <w:rPr>
          <w:sz w:val="24"/>
        </w:rPr>
        <w:t xml:space="preserve"> </w:t>
      </w:r>
      <w:r w:rsidR="00CD62CC" w:rsidRPr="004006B1">
        <w:rPr>
          <w:sz w:val="24"/>
        </w:rPr>
        <w:t xml:space="preserve">discrimination claim based on the payment of unequal wages for the performance of substantially equal work, the standards and methodology of the EPA should be followed.” </w:t>
      </w:r>
      <w:r w:rsidR="00CD62CC" w:rsidRPr="004006B1">
        <w:rPr>
          <w:i/>
          <w:sz w:val="24"/>
        </w:rPr>
        <w:t>Grigoletti</w:t>
      </w:r>
      <w:r w:rsidR="00CD62CC" w:rsidRPr="004006B1">
        <w:rPr>
          <w:sz w:val="24"/>
        </w:rPr>
        <w:t xml:space="preserve">, 118 </w:t>
      </w:r>
      <w:r w:rsidR="00CD62CC" w:rsidRPr="004006B1">
        <w:rPr>
          <w:i/>
          <w:sz w:val="24"/>
        </w:rPr>
        <w:t>N.J.</w:t>
      </w:r>
      <w:r w:rsidR="00CD62CC" w:rsidRPr="004006B1">
        <w:rPr>
          <w:sz w:val="24"/>
        </w:rPr>
        <w:t xml:space="preserve"> at 109-110.</w:t>
      </w:r>
    </w:p>
    <w:p w:rsidR="00F41A20" w:rsidRPr="004006B1" w:rsidRDefault="00F41A20" w:rsidP="004006B1">
      <w:pPr>
        <w:pStyle w:val="FootnoteText"/>
        <w:jc w:val="both"/>
        <w:rPr>
          <w:sz w:val="24"/>
        </w:rPr>
      </w:pPr>
    </w:p>
  </w:footnote>
  <w:footnote w:id="3">
    <w:p w:rsidR="00C043F7" w:rsidRPr="004006B1" w:rsidRDefault="00C043F7" w:rsidP="004006B1">
      <w:pPr>
        <w:pStyle w:val="FootnoteText"/>
        <w:jc w:val="both"/>
        <w:rPr>
          <w:sz w:val="24"/>
        </w:rPr>
      </w:pPr>
      <w:r w:rsidRPr="004006B1">
        <w:rPr>
          <w:rStyle w:val="FootnoteReference"/>
          <w:sz w:val="24"/>
        </w:rPr>
        <w:footnoteRef/>
      </w:r>
      <w:r w:rsidRPr="004006B1">
        <w:rPr>
          <w:sz w:val="24"/>
        </w:rPr>
        <w:t xml:space="preserve"> </w:t>
      </w:r>
      <w:r w:rsidR="00F41A20" w:rsidRPr="004006B1">
        <w:rPr>
          <w:sz w:val="24"/>
        </w:rPr>
        <w:t xml:space="preserve"> </w:t>
      </w:r>
      <w:r w:rsidRPr="004006B1">
        <w:rPr>
          <w:i/>
          <w:sz w:val="24"/>
        </w:rPr>
        <w:t>See N.J.S.A.</w:t>
      </w:r>
      <w:r w:rsidRPr="004006B1">
        <w:rPr>
          <w:sz w:val="24"/>
        </w:rPr>
        <w:t xml:space="preserve"> 10:5-12(</w:t>
      </w:r>
      <w:r w:rsidR="006D01FE" w:rsidRPr="004006B1">
        <w:rPr>
          <w:sz w:val="24"/>
        </w:rPr>
        <w:t>t</w:t>
      </w:r>
      <w:r w:rsidRPr="004006B1">
        <w:rPr>
          <w:sz w:val="24"/>
        </w:rPr>
        <w:t>)</w:t>
      </w:r>
      <w:r w:rsidR="00DC52CB" w:rsidRPr="004006B1">
        <w:rPr>
          <w:sz w:val="24"/>
        </w:rPr>
        <w:t>.</w:t>
      </w:r>
    </w:p>
    <w:p w:rsidR="00F41A20" w:rsidRPr="004006B1" w:rsidRDefault="00F41A20" w:rsidP="004006B1">
      <w:pPr>
        <w:pStyle w:val="FootnoteText"/>
        <w:jc w:val="both"/>
        <w:rPr>
          <w:sz w:val="24"/>
        </w:rPr>
      </w:pPr>
    </w:p>
  </w:footnote>
  <w:footnote w:id="4">
    <w:p w:rsidR="0055735E" w:rsidRPr="004006B1" w:rsidRDefault="0055735E" w:rsidP="004006B1">
      <w:pPr>
        <w:pStyle w:val="FootnoteText"/>
        <w:jc w:val="both"/>
        <w:rPr>
          <w:sz w:val="24"/>
        </w:rPr>
      </w:pPr>
      <w:r w:rsidRPr="004006B1">
        <w:rPr>
          <w:rStyle w:val="FootnoteReference"/>
          <w:sz w:val="24"/>
        </w:rPr>
        <w:footnoteRef/>
      </w:r>
      <w:r w:rsidRPr="004006B1">
        <w:rPr>
          <w:sz w:val="24"/>
        </w:rPr>
        <w:t xml:space="preserve"> </w:t>
      </w:r>
      <w:r w:rsidR="00F41A20" w:rsidRPr="004006B1">
        <w:rPr>
          <w:sz w:val="24"/>
        </w:rPr>
        <w:t xml:space="preserve"> </w:t>
      </w:r>
      <w:r w:rsidRPr="004006B1">
        <w:rPr>
          <w:i/>
          <w:sz w:val="24"/>
        </w:rPr>
        <w:t xml:space="preserve">See </w:t>
      </w:r>
      <w:hyperlink r:id="rId1" w:anchor="co_pp_sp_350_155" w:history="1">
        <w:r w:rsidRPr="004006B1">
          <w:rPr>
            <w:i/>
            <w:iCs/>
            <w:sz w:val="24"/>
          </w:rPr>
          <w:t>Brobst v. Columbus Servs. Intern.,</w:t>
        </w:r>
        <w:r w:rsidRPr="004006B1">
          <w:rPr>
            <w:sz w:val="24"/>
          </w:rPr>
          <w:t xml:space="preserve"> 761 F.2d 148, 155 (3d Cir.1985)</w:t>
        </w:r>
      </w:hyperlink>
      <w:r w:rsidR="00B6593B" w:rsidRPr="004006B1">
        <w:rPr>
          <w:sz w:val="24"/>
        </w:rPr>
        <w:t>; Third Circuit Court of Appeals Model Civil Jury Instruction 11.1.1</w:t>
      </w:r>
      <w:r w:rsidR="001C3D22" w:rsidRPr="004006B1">
        <w:rPr>
          <w:color w:val="000000"/>
          <w:sz w:val="24"/>
        </w:rPr>
        <w:t>.</w:t>
      </w:r>
      <w:r w:rsidRPr="004006B1">
        <w:rPr>
          <w:color w:val="000000"/>
          <w:sz w:val="24"/>
        </w:rPr>
        <w:t xml:space="preserve"> </w:t>
      </w:r>
    </w:p>
  </w:footnote>
  <w:footnote w:id="5">
    <w:p w:rsidR="00F41A20" w:rsidRPr="004006B1" w:rsidRDefault="00F41A20" w:rsidP="004006B1">
      <w:pPr>
        <w:pStyle w:val="FootnoteText"/>
        <w:jc w:val="both"/>
        <w:rPr>
          <w:sz w:val="24"/>
        </w:rPr>
      </w:pPr>
    </w:p>
    <w:p w:rsidR="001C3D22" w:rsidRPr="004006B1" w:rsidRDefault="001C3D22" w:rsidP="004006B1">
      <w:pPr>
        <w:pStyle w:val="FootnoteText"/>
        <w:jc w:val="both"/>
        <w:rPr>
          <w:sz w:val="24"/>
        </w:rPr>
      </w:pPr>
      <w:r w:rsidRPr="004006B1">
        <w:rPr>
          <w:rStyle w:val="FootnoteReference"/>
          <w:sz w:val="24"/>
        </w:rPr>
        <w:footnoteRef/>
      </w:r>
      <w:r w:rsidRPr="004006B1">
        <w:rPr>
          <w:sz w:val="24"/>
        </w:rPr>
        <w:t xml:space="preserve"> </w:t>
      </w:r>
      <w:r w:rsidR="00F41A20" w:rsidRPr="004006B1">
        <w:rPr>
          <w:sz w:val="24"/>
        </w:rPr>
        <w:t xml:space="preserve"> </w:t>
      </w:r>
      <w:r w:rsidR="00273BDE" w:rsidRPr="004006B1">
        <w:rPr>
          <w:sz w:val="24"/>
        </w:rPr>
        <w:t>First Circuit Pattern Jury Instruction 4.1</w:t>
      </w:r>
      <w:r w:rsidR="00925196">
        <w:rPr>
          <w:sz w:val="24"/>
        </w:rPr>
        <w:t xml:space="preserve"> </w:t>
      </w:r>
      <w:r w:rsidRPr="004006B1">
        <w:rPr>
          <w:sz w:val="24"/>
        </w:rPr>
        <w:t>Third Circuit Court of Appeals Model Civil Jury Instruction 11.1.1. (October 2018)</w:t>
      </w:r>
      <w:r w:rsidR="00273BDE" w:rsidRPr="004006B1">
        <w:rPr>
          <w:sz w:val="24"/>
        </w:rPr>
        <w:t xml:space="preserve">; </w:t>
      </w:r>
      <w:r w:rsidR="00B6593B" w:rsidRPr="004006B1">
        <w:rPr>
          <w:sz w:val="24"/>
        </w:rPr>
        <w:t xml:space="preserve">Third Circuit Court of Appeals Model Civil Jury Instruction 11.1.1; </w:t>
      </w:r>
      <w:r w:rsidR="004F5FF8" w:rsidRPr="004006B1">
        <w:rPr>
          <w:sz w:val="24"/>
        </w:rPr>
        <w:t>Federal Jury Instructions of the Seventh Circuit 5.06 (2017 rev.);</w:t>
      </w:r>
      <w:r w:rsidR="00B6593B" w:rsidRPr="004006B1">
        <w:rPr>
          <w:sz w:val="24"/>
        </w:rPr>
        <w:t xml:space="preserve"> </w:t>
      </w:r>
      <w:r w:rsidR="00273BDE" w:rsidRPr="004006B1">
        <w:rPr>
          <w:sz w:val="24"/>
        </w:rPr>
        <w:t>Manual of Model Civil Jury Instructions for the District Courts of the Eighth Circuit § 7.20; Eleventh Circuit Civil Pattern Jury Instruction 4.13 (2013)</w:t>
      </w:r>
      <w:r w:rsidRPr="004006B1">
        <w:rPr>
          <w:sz w:val="24"/>
        </w:rPr>
        <w:t>.</w:t>
      </w:r>
    </w:p>
    <w:p w:rsidR="0038709C" w:rsidRPr="004006B1" w:rsidRDefault="0038709C" w:rsidP="004006B1">
      <w:pPr>
        <w:pStyle w:val="FootnoteText"/>
        <w:jc w:val="both"/>
        <w:rPr>
          <w:sz w:val="24"/>
        </w:rPr>
      </w:pPr>
    </w:p>
  </w:footnote>
  <w:footnote w:id="6">
    <w:p w:rsidR="00DC52CB" w:rsidRDefault="00DC52CB" w:rsidP="004006B1">
      <w:pPr>
        <w:pStyle w:val="FootnoteText"/>
        <w:jc w:val="both"/>
        <w:rPr>
          <w:sz w:val="24"/>
        </w:rPr>
      </w:pPr>
      <w:r w:rsidRPr="004006B1">
        <w:rPr>
          <w:rStyle w:val="FootnoteReference"/>
          <w:sz w:val="24"/>
        </w:rPr>
        <w:footnoteRef/>
      </w:r>
      <w:r w:rsidRPr="004006B1">
        <w:rPr>
          <w:sz w:val="24"/>
        </w:rPr>
        <w:t xml:space="preserve"> </w:t>
      </w:r>
      <w:r w:rsidR="0038709C" w:rsidRPr="004006B1">
        <w:rPr>
          <w:sz w:val="24"/>
        </w:rPr>
        <w:t xml:space="preserve"> </w:t>
      </w:r>
      <w:r w:rsidRPr="004006B1">
        <w:rPr>
          <w:sz w:val="24"/>
        </w:rPr>
        <w:t>Third Circuit Court of Appeals Model Civil Jury Instruction 11.1.1. (October 2018)</w:t>
      </w:r>
      <w:r w:rsidR="002A75C3" w:rsidRPr="004006B1">
        <w:rPr>
          <w:sz w:val="24"/>
        </w:rPr>
        <w:t xml:space="preserve">; </w:t>
      </w:r>
      <w:r w:rsidR="002A75C3" w:rsidRPr="004006B1">
        <w:rPr>
          <w:i/>
          <w:sz w:val="24"/>
        </w:rPr>
        <w:t>see also</w:t>
      </w:r>
      <w:r w:rsidR="002A75C3" w:rsidRPr="004006B1">
        <w:rPr>
          <w:sz w:val="24"/>
        </w:rPr>
        <w:t xml:space="preserve"> First Circuit Pattern Jury Instruction 4.1; </w:t>
      </w:r>
      <w:r w:rsidR="00AD6D0A" w:rsidRPr="004006B1">
        <w:rPr>
          <w:sz w:val="24"/>
        </w:rPr>
        <w:t>Manual of Model Civil Jury Instructions for the District Courts of the Eighth Circuit § 7.20; Eleventh Circuit Civil Pattern Jury Instruction 4.13</w:t>
      </w:r>
      <w:r w:rsidRPr="004006B1">
        <w:rPr>
          <w:sz w:val="24"/>
        </w:rPr>
        <w:t>.</w:t>
      </w:r>
    </w:p>
    <w:p w:rsidR="007E5906" w:rsidRPr="004006B1" w:rsidRDefault="007E5906" w:rsidP="004006B1">
      <w:pPr>
        <w:pStyle w:val="FootnoteText"/>
        <w:jc w:val="both"/>
        <w:rPr>
          <w:sz w:val="24"/>
        </w:rPr>
      </w:pPr>
    </w:p>
  </w:footnote>
  <w:footnote w:id="7">
    <w:p w:rsidR="00DC52CB" w:rsidRPr="004006B1" w:rsidRDefault="00DC52CB" w:rsidP="004006B1">
      <w:pPr>
        <w:pStyle w:val="FootnoteText"/>
        <w:jc w:val="both"/>
        <w:rPr>
          <w:sz w:val="24"/>
        </w:rPr>
      </w:pPr>
      <w:r w:rsidRPr="004006B1">
        <w:rPr>
          <w:rStyle w:val="FootnoteReference"/>
          <w:sz w:val="24"/>
        </w:rPr>
        <w:footnoteRef/>
      </w:r>
      <w:r w:rsidR="0038709C" w:rsidRPr="004006B1">
        <w:rPr>
          <w:sz w:val="24"/>
        </w:rPr>
        <w:t xml:space="preserve"> </w:t>
      </w:r>
      <w:r w:rsidRPr="004006B1">
        <w:rPr>
          <w:sz w:val="24"/>
        </w:rPr>
        <w:t xml:space="preserve"> </w:t>
      </w:r>
      <w:r w:rsidRPr="004006B1">
        <w:rPr>
          <w:i/>
          <w:sz w:val="24"/>
        </w:rPr>
        <w:t xml:space="preserve">Grigoletti, </w:t>
      </w:r>
      <w:r w:rsidRPr="004006B1">
        <w:rPr>
          <w:sz w:val="24"/>
        </w:rPr>
        <w:t xml:space="preserve">118 </w:t>
      </w:r>
      <w:r w:rsidRPr="004006B1">
        <w:rPr>
          <w:i/>
          <w:sz w:val="24"/>
        </w:rPr>
        <w:t>N.J.</w:t>
      </w:r>
      <w:r w:rsidRPr="004006B1">
        <w:rPr>
          <w:sz w:val="24"/>
        </w:rPr>
        <w:t xml:space="preserve"> at 102 (collecting cases).</w:t>
      </w:r>
    </w:p>
  </w:footnote>
  <w:footnote w:id="8">
    <w:p w:rsidR="0038709C" w:rsidRPr="004006B1" w:rsidRDefault="0038709C" w:rsidP="004006B1">
      <w:pPr>
        <w:pStyle w:val="FootnoteText"/>
        <w:jc w:val="both"/>
        <w:rPr>
          <w:sz w:val="24"/>
        </w:rPr>
      </w:pPr>
    </w:p>
    <w:p w:rsidR="0055735E" w:rsidRPr="004006B1" w:rsidRDefault="0055735E" w:rsidP="004006B1">
      <w:pPr>
        <w:pStyle w:val="FootnoteText"/>
        <w:jc w:val="both"/>
        <w:rPr>
          <w:sz w:val="24"/>
        </w:rPr>
      </w:pPr>
      <w:r w:rsidRPr="004006B1">
        <w:rPr>
          <w:rStyle w:val="FootnoteReference"/>
          <w:sz w:val="24"/>
        </w:rPr>
        <w:footnoteRef/>
      </w:r>
      <w:r w:rsidR="0038709C" w:rsidRPr="004006B1">
        <w:rPr>
          <w:sz w:val="24"/>
        </w:rPr>
        <w:t xml:space="preserve"> </w:t>
      </w:r>
      <w:r w:rsidRPr="004006B1">
        <w:rPr>
          <w:sz w:val="24"/>
        </w:rPr>
        <w:t xml:space="preserve"> </w:t>
      </w:r>
      <w:r w:rsidR="00C94A62" w:rsidRPr="004006B1">
        <w:rPr>
          <w:sz w:val="24"/>
        </w:rPr>
        <w:t>Manual of Model Civil Jury Instructions for the District Courts of the Eighth Circuit § 7.20</w:t>
      </w:r>
      <w:r w:rsidR="009B62B2">
        <w:rPr>
          <w:sz w:val="24"/>
        </w:rPr>
        <w:t>.</w:t>
      </w:r>
    </w:p>
  </w:footnote>
  <w:footnote w:id="9">
    <w:p w:rsidR="0038709C" w:rsidRPr="004006B1" w:rsidRDefault="0038709C" w:rsidP="004006B1">
      <w:pPr>
        <w:pStyle w:val="FootnoteText"/>
        <w:jc w:val="both"/>
        <w:rPr>
          <w:sz w:val="24"/>
        </w:rPr>
      </w:pPr>
    </w:p>
    <w:p w:rsidR="00DC52CB" w:rsidRPr="004006B1" w:rsidRDefault="00DC52CB" w:rsidP="004006B1">
      <w:pPr>
        <w:pStyle w:val="FootnoteText"/>
        <w:jc w:val="both"/>
        <w:rPr>
          <w:i/>
          <w:sz w:val="24"/>
        </w:rPr>
      </w:pPr>
      <w:r w:rsidRPr="004006B1">
        <w:rPr>
          <w:rStyle w:val="FootnoteReference"/>
          <w:sz w:val="24"/>
        </w:rPr>
        <w:footnoteRef/>
      </w:r>
      <w:r w:rsidR="0038709C" w:rsidRPr="004006B1">
        <w:rPr>
          <w:sz w:val="24"/>
        </w:rPr>
        <w:t xml:space="preserve"> </w:t>
      </w:r>
      <w:r w:rsidRPr="004006B1">
        <w:rPr>
          <w:sz w:val="24"/>
        </w:rPr>
        <w:t xml:space="preserve"> </w:t>
      </w:r>
      <w:r w:rsidR="00A519EE" w:rsidRPr="004006B1">
        <w:rPr>
          <w:sz w:val="24"/>
        </w:rPr>
        <w:t xml:space="preserve">Third Circuit Court of Appeals Model Civil Jury Instruction 11.1.1. (October 2018); </w:t>
      </w:r>
      <w:r w:rsidR="00A519EE" w:rsidRPr="004006B1">
        <w:rPr>
          <w:i/>
          <w:sz w:val="24"/>
        </w:rPr>
        <w:t xml:space="preserve">see also </w:t>
      </w:r>
      <w:r w:rsidR="00A519EE" w:rsidRPr="004006B1">
        <w:rPr>
          <w:i/>
          <w:sz w:val="24"/>
        </w:rPr>
        <w:t xml:space="preserve">Grigoletti, </w:t>
      </w:r>
      <w:r w:rsidR="00A519EE" w:rsidRPr="004006B1">
        <w:rPr>
          <w:sz w:val="24"/>
        </w:rPr>
        <w:t xml:space="preserve">118 </w:t>
      </w:r>
      <w:r w:rsidR="00A519EE" w:rsidRPr="004006B1">
        <w:rPr>
          <w:i/>
          <w:sz w:val="24"/>
        </w:rPr>
        <w:t>N.J.</w:t>
      </w:r>
      <w:r w:rsidR="00A519EE" w:rsidRPr="004006B1">
        <w:rPr>
          <w:sz w:val="24"/>
        </w:rPr>
        <w:t xml:space="preserve"> at 102</w:t>
      </w:r>
      <w:r w:rsidRPr="004006B1">
        <w:rPr>
          <w:i/>
          <w:sz w:val="24"/>
        </w:rPr>
        <w:t>.</w:t>
      </w:r>
    </w:p>
    <w:p w:rsidR="0038709C" w:rsidRPr="004006B1" w:rsidRDefault="0038709C" w:rsidP="004006B1">
      <w:pPr>
        <w:pStyle w:val="FootnoteText"/>
        <w:jc w:val="both"/>
        <w:rPr>
          <w:i/>
          <w:sz w:val="24"/>
        </w:rPr>
      </w:pPr>
    </w:p>
  </w:footnote>
  <w:footnote w:id="10">
    <w:p w:rsidR="00A519EE" w:rsidRPr="004006B1" w:rsidRDefault="00A519EE" w:rsidP="004006B1">
      <w:pPr>
        <w:pStyle w:val="FootnoteText"/>
        <w:jc w:val="both"/>
        <w:rPr>
          <w:sz w:val="24"/>
        </w:rPr>
      </w:pPr>
      <w:r w:rsidRPr="004006B1">
        <w:rPr>
          <w:rStyle w:val="FootnoteReference"/>
          <w:sz w:val="24"/>
        </w:rPr>
        <w:footnoteRef/>
      </w:r>
      <w:r w:rsidRPr="004006B1">
        <w:rPr>
          <w:sz w:val="24"/>
        </w:rPr>
        <w:t xml:space="preserve"> </w:t>
      </w:r>
      <w:r w:rsidR="009B62B2">
        <w:rPr>
          <w:sz w:val="24"/>
        </w:rPr>
        <w:t xml:space="preserve"> </w:t>
      </w:r>
      <w:r w:rsidRPr="004006B1">
        <w:rPr>
          <w:i/>
          <w:sz w:val="24"/>
        </w:rPr>
        <w:t xml:space="preserve">Grigoletti, </w:t>
      </w:r>
      <w:r w:rsidRPr="004006B1">
        <w:rPr>
          <w:sz w:val="24"/>
        </w:rPr>
        <w:t xml:space="preserve">118 </w:t>
      </w:r>
      <w:r w:rsidRPr="004006B1">
        <w:rPr>
          <w:i/>
          <w:sz w:val="24"/>
        </w:rPr>
        <w:t>N.J.</w:t>
      </w:r>
      <w:r w:rsidRPr="004006B1">
        <w:rPr>
          <w:sz w:val="24"/>
        </w:rPr>
        <w:t xml:space="preserve"> at 102</w:t>
      </w:r>
      <w:r w:rsidR="009B62B2">
        <w:rPr>
          <w:sz w:val="24"/>
        </w:rPr>
        <w:t>.</w:t>
      </w:r>
    </w:p>
    <w:p w:rsidR="0038709C" w:rsidRPr="004006B1" w:rsidRDefault="0038709C" w:rsidP="004006B1">
      <w:pPr>
        <w:pStyle w:val="FootnoteText"/>
        <w:jc w:val="both"/>
        <w:rPr>
          <w:sz w:val="24"/>
        </w:rPr>
      </w:pPr>
    </w:p>
  </w:footnote>
  <w:footnote w:id="11">
    <w:p w:rsidR="0009555A" w:rsidRDefault="0009555A" w:rsidP="004006B1">
      <w:pPr>
        <w:pStyle w:val="FootnoteText"/>
        <w:jc w:val="both"/>
        <w:rPr>
          <w:sz w:val="24"/>
        </w:rPr>
      </w:pPr>
      <w:r w:rsidRPr="004006B1">
        <w:rPr>
          <w:rStyle w:val="FootnoteReference"/>
          <w:sz w:val="24"/>
        </w:rPr>
        <w:footnoteRef/>
      </w:r>
      <w:r w:rsidR="009B62B2">
        <w:rPr>
          <w:sz w:val="24"/>
        </w:rPr>
        <w:t xml:space="preserve"> </w:t>
      </w:r>
      <w:r w:rsidRPr="004006B1">
        <w:rPr>
          <w:sz w:val="24"/>
        </w:rPr>
        <w:t xml:space="preserve"> Third Circuit Court of Appeals Model Civil Jury Instruction 11.1.1. (October 2018)</w:t>
      </w:r>
      <w:r w:rsidR="009B62B2">
        <w:rPr>
          <w:sz w:val="24"/>
        </w:rPr>
        <w:t>.</w:t>
      </w:r>
    </w:p>
    <w:p w:rsidR="00C46DA0" w:rsidRPr="004006B1" w:rsidRDefault="00C46DA0" w:rsidP="004006B1">
      <w:pPr>
        <w:pStyle w:val="FootnoteText"/>
        <w:jc w:val="both"/>
        <w:rPr>
          <w:sz w:val="24"/>
        </w:rPr>
      </w:pPr>
    </w:p>
  </w:footnote>
  <w:footnote w:id="12">
    <w:p w:rsidR="0009555A" w:rsidRPr="004006B1" w:rsidRDefault="0009555A" w:rsidP="004006B1">
      <w:pPr>
        <w:pStyle w:val="FootnoteText"/>
        <w:jc w:val="both"/>
        <w:rPr>
          <w:sz w:val="24"/>
        </w:rPr>
      </w:pPr>
      <w:r w:rsidRPr="004006B1">
        <w:rPr>
          <w:rStyle w:val="FootnoteReference"/>
          <w:sz w:val="24"/>
        </w:rPr>
        <w:footnoteRef/>
      </w:r>
      <w:r w:rsidR="009B62B2">
        <w:rPr>
          <w:sz w:val="24"/>
        </w:rPr>
        <w:t xml:space="preserve"> </w:t>
      </w:r>
      <w:r w:rsidRPr="004006B1">
        <w:rPr>
          <w:sz w:val="24"/>
        </w:rPr>
        <w:t xml:space="preserve"> </w:t>
      </w:r>
      <w:r w:rsidR="004F5FF8" w:rsidRPr="004006B1">
        <w:rPr>
          <w:i/>
          <w:sz w:val="24"/>
        </w:rPr>
        <w:t>Grigoletti</w:t>
      </w:r>
      <w:r w:rsidR="004F5FF8" w:rsidRPr="004006B1">
        <w:rPr>
          <w:sz w:val="24"/>
        </w:rPr>
        <w:t xml:space="preserve">, 118 </w:t>
      </w:r>
      <w:r w:rsidR="004F5FF8" w:rsidRPr="004006B1">
        <w:rPr>
          <w:i/>
          <w:sz w:val="24"/>
        </w:rPr>
        <w:t xml:space="preserve">N.J. </w:t>
      </w:r>
      <w:r w:rsidR="004F5FF8" w:rsidRPr="004006B1">
        <w:rPr>
          <w:sz w:val="24"/>
        </w:rPr>
        <w:t xml:space="preserve">at 113; </w:t>
      </w:r>
      <w:r w:rsidR="004F5FF8" w:rsidRPr="004006B1">
        <w:rPr>
          <w:i/>
          <w:sz w:val="24"/>
        </w:rPr>
        <w:t>see also P</w:t>
      </w:r>
      <w:r w:rsidRPr="004006B1">
        <w:rPr>
          <w:i/>
          <w:sz w:val="24"/>
        </w:rPr>
        <w:t>uchakjian v. Township of Winslow</w:t>
      </w:r>
      <w:r w:rsidRPr="004006B1">
        <w:rPr>
          <w:sz w:val="24"/>
        </w:rPr>
        <w:t xml:space="preserve">, 804 </w:t>
      </w:r>
      <w:r w:rsidRPr="004006B1">
        <w:rPr>
          <w:i/>
          <w:sz w:val="24"/>
        </w:rPr>
        <w:t>F.Supp</w:t>
      </w:r>
      <w:r w:rsidRPr="004006B1">
        <w:rPr>
          <w:sz w:val="24"/>
        </w:rPr>
        <w:t xml:space="preserve">.2d 288, </w:t>
      </w:r>
      <w:r w:rsidR="008F5DBE" w:rsidRPr="004006B1">
        <w:rPr>
          <w:sz w:val="24"/>
        </w:rPr>
        <w:t xml:space="preserve">295 </w:t>
      </w:r>
      <w:r w:rsidRPr="004006B1">
        <w:rPr>
          <w:sz w:val="24"/>
        </w:rPr>
        <w:t>(D.N.J. 2011)</w:t>
      </w:r>
      <w:r w:rsidR="009B62B2">
        <w:rPr>
          <w:sz w:val="24"/>
        </w:rPr>
        <w:t>.</w:t>
      </w:r>
    </w:p>
  </w:footnote>
  <w:footnote w:id="13">
    <w:p w:rsidR="00257A28" w:rsidRDefault="00257A28" w:rsidP="004006B1">
      <w:pPr>
        <w:pStyle w:val="FootnoteText"/>
        <w:jc w:val="both"/>
        <w:rPr>
          <w:sz w:val="24"/>
        </w:rPr>
      </w:pPr>
    </w:p>
    <w:p w:rsidR="004006B1" w:rsidRDefault="006D01FE" w:rsidP="004006B1">
      <w:pPr>
        <w:pStyle w:val="FootnoteText"/>
        <w:jc w:val="both"/>
        <w:rPr>
          <w:sz w:val="24"/>
        </w:rPr>
      </w:pPr>
      <w:r w:rsidRPr="004006B1">
        <w:rPr>
          <w:rStyle w:val="FootnoteReference"/>
          <w:sz w:val="24"/>
        </w:rPr>
        <w:footnoteRef/>
      </w:r>
      <w:r w:rsidR="00FC4DB3">
        <w:rPr>
          <w:sz w:val="24"/>
        </w:rPr>
        <w:t xml:space="preserve"> </w:t>
      </w:r>
      <w:r w:rsidRPr="004006B1">
        <w:rPr>
          <w:sz w:val="24"/>
        </w:rPr>
        <w:t xml:space="preserve"> Third Circuit Court of Appeals Model Civil Jury Instruction 11.1.1. (October 2018)</w:t>
      </w:r>
      <w:r w:rsidR="00273BDE" w:rsidRPr="004006B1">
        <w:rPr>
          <w:sz w:val="24"/>
        </w:rPr>
        <w:t xml:space="preserve">; </w:t>
      </w:r>
      <w:r w:rsidR="00273BDE" w:rsidRPr="004006B1">
        <w:rPr>
          <w:i/>
          <w:sz w:val="24"/>
        </w:rPr>
        <w:t xml:space="preserve">see also </w:t>
      </w:r>
      <w:r w:rsidR="00273BDE" w:rsidRPr="004006B1">
        <w:rPr>
          <w:sz w:val="24"/>
        </w:rPr>
        <w:t>First Circuit Pattern Jury Instruction 4.1; Eleventh Circuit Civil Pattern Jury Instruction 4.13.</w:t>
      </w:r>
    </w:p>
    <w:p w:rsidR="007E5906" w:rsidRPr="004006B1" w:rsidRDefault="007E5906" w:rsidP="004006B1">
      <w:pPr>
        <w:pStyle w:val="FootnoteText"/>
        <w:jc w:val="both"/>
        <w:rPr>
          <w:sz w:val="24"/>
        </w:rPr>
      </w:pPr>
    </w:p>
  </w:footnote>
  <w:footnote w:id="14">
    <w:p w:rsidR="00CD62CC" w:rsidRDefault="00CD62CC" w:rsidP="00963AA2">
      <w:pPr>
        <w:pStyle w:val="FootnoteText"/>
        <w:jc w:val="both"/>
        <w:rPr>
          <w:sz w:val="24"/>
        </w:rPr>
      </w:pPr>
      <w:r w:rsidRPr="004006B1">
        <w:rPr>
          <w:rStyle w:val="FootnoteReference"/>
          <w:sz w:val="24"/>
        </w:rPr>
        <w:footnoteRef/>
      </w:r>
      <w:r w:rsidRPr="004006B1">
        <w:rPr>
          <w:sz w:val="24"/>
        </w:rPr>
        <w:t xml:space="preserve"> </w:t>
      </w:r>
      <w:r w:rsidR="00FC4DB3">
        <w:rPr>
          <w:sz w:val="24"/>
        </w:rPr>
        <w:t xml:space="preserve"> </w:t>
      </w:r>
      <w:r w:rsidRPr="004006B1">
        <w:rPr>
          <w:sz w:val="24"/>
        </w:rPr>
        <w:t>Third Circuit Court of Appeals Model Civil Jury Instruction 11.1.1. (October 2018)</w:t>
      </w:r>
      <w:r w:rsidR="00273BDE" w:rsidRPr="004006B1">
        <w:rPr>
          <w:sz w:val="24"/>
        </w:rPr>
        <w:t xml:space="preserve">; </w:t>
      </w:r>
      <w:r w:rsidR="00273BDE" w:rsidRPr="004006B1">
        <w:rPr>
          <w:i/>
          <w:sz w:val="24"/>
        </w:rPr>
        <w:t xml:space="preserve">see also </w:t>
      </w:r>
      <w:r w:rsidR="00273BDE" w:rsidRPr="004006B1">
        <w:rPr>
          <w:sz w:val="24"/>
        </w:rPr>
        <w:t>First Circuit Pattern Jury Instruction 4.1; Eleventh Circuit Civil Pattern Jury Instruction 4.13.</w:t>
      </w:r>
    </w:p>
    <w:p w:rsidR="0081106D" w:rsidRPr="004006B1" w:rsidRDefault="0081106D" w:rsidP="004006B1">
      <w:pPr>
        <w:pStyle w:val="FootnoteText"/>
        <w:jc w:val="both"/>
        <w:rPr>
          <w:sz w:val="24"/>
        </w:rPr>
      </w:pPr>
    </w:p>
  </w:footnote>
  <w:footnote w:id="15">
    <w:p w:rsidR="008F5DBE" w:rsidRPr="004006B1" w:rsidRDefault="008F5DBE" w:rsidP="004006B1">
      <w:pPr>
        <w:pStyle w:val="FootnoteText"/>
        <w:jc w:val="both"/>
        <w:rPr>
          <w:sz w:val="24"/>
        </w:rPr>
      </w:pPr>
      <w:r w:rsidRPr="004006B1">
        <w:rPr>
          <w:rStyle w:val="FootnoteReference"/>
          <w:sz w:val="24"/>
        </w:rPr>
        <w:footnoteRef/>
      </w:r>
      <w:r w:rsidRPr="004006B1">
        <w:rPr>
          <w:sz w:val="24"/>
        </w:rPr>
        <w:t xml:space="preserve"> </w:t>
      </w:r>
      <w:r w:rsidR="003E26FB" w:rsidRPr="004006B1">
        <w:rPr>
          <w:sz w:val="24"/>
        </w:rPr>
        <w:t xml:space="preserve"> </w:t>
      </w:r>
      <w:r w:rsidRPr="004006B1">
        <w:rPr>
          <w:i/>
          <w:sz w:val="24"/>
        </w:rPr>
        <w:t>See N.J.S.A.</w:t>
      </w:r>
      <w:r w:rsidRPr="004006B1">
        <w:rPr>
          <w:sz w:val="24"/>
        </w:rPr>
        <w:t xml:space="preserve"> 10:5-12(t).</w:t>
      </w:r>
    </w:p>
    <w:p w:rsidR="003E26FB" w:rsidRPr="004006B1" w:rsidRDefault="003E26FB" w:rsidP="004006B1">
      <w:pPr>
        <w:pStyle w:val="FootnoteText"/>
        <w:jc w:val="both"/>
        <w:rPr>
          <w:sz w:val="24"/>
        </w:rPr>
      </w:pPr>
    </w:p>
  </w:footnote>
  <w:footnote w:id="16">
    <w:p w:rsidR="0038709C" w:rsidRPr="004006B1" w:rsidRDefault="0038709C" w:rsidP="004006B1">
      <w:pPr>
        <w:pStyle w:val="FootnoteText"/>
        <w:jc w:val="both"/>
        <w:rPr>
          <w:sz w:val="24"/>
        </w:rPr>
      </w:pPr>
      <w:r w:rsidRPr="004006B1">
        <w:rPr>
          <w:rStyle w:val="FootnoteReference"/>
          <w:sz w:val="24"/>
        </w:rPr>
        <w:footnoteRef/>
      </w:r>
      <w:r w:rsidRPr="004006B1">
        <w:rPr>
          <w:sz w:val="24"/>
        </w:rPr>
        <w:t xml:space="preserve"> </w:t>
      </w:r>
      <w:r w:rsidR="003E26FB" w:rsidRPr="004006B1">
        <w:rPr>
          <w:sz w:val="24"/>
        </w:rPr>
        <w:t xml:space="preserve"> </w:t>
      </w:r>
      <w:r w:rsidRPr="004006B1">
        <w:rPr>
          <w:i/>
          <w:sz w:val="24"/>
        </w:rPr>
        <w:t>N.J.S.A.</w:t>
      </w:r>
      <w:r w:rsidRPr="004006B1">
        <w:rPr>
          <w:sz w:val="24"/>
        </w:rPr>
        <w:t xml:space="preserve"> 10:5-12(t).</w:t>
      </w:r>
    </w:p>
    <w:p w:rsidR="003E26FB" w:rsidRPr="004006B1" w:rsidRDefault="003E26FB" w:rsidP="004006B1">
      <w:pPr>
        <w:pStyle w:val="FootnoteText"/>
        <w:jc w:val="both"/>
        <w:rPr>
          <w:sz w:val="24"/>
        </w:rPr>
      </w:pPr>
    </w:p>
  </w:footnote>
  <w:footnote w:id="17">
    <w:p w:rsidR="004B5B2B" w:rsidRDefault="004B5B2B" w:rsidP="004006B1">
      <w:pPr>
        <w:pStyle w:val="FootnoteText"/>
        <w:jc w:val="both"/>
        <w:rPr>
          <w:sz w:val="24"/>
        </w:rPr>
      </w:pPr>
      <w:r w:rsidRPr="004006B1">
        <w:rPr>
          <w:rStyle w:val="FootnoteReference"/>
          <w:sz w:val="24"/>
        </w:rPr>
        <w:footnoteRef/>
      </w:r>
      <w:r w:rsidR="003E26FB" w:rsidRPr="004006B1">
        <w:rPr>
          <w:i/>
          <w:sz w:val="24"/>
        </w:rPr>
        <w:t xml:space="preserve">  </w:t>
      </w:r>
      <w:r w:rsidR="00F70F86" w:rsidRPr="004006B1">
        <w:rPr>
          <w:i/>
          <w:sz w:val="24"/>
        </w:rPr>
        <w:t xml:space="preserve">See </w:t>
      </w:r>
      <w:r w:rsidR="00F70F86" w:rsidRPr="004006B1">
        <w:rPr>
          <w:i/>
          <w:sz w:val="24"/>
        </w:rPr>
        <w:t>Dubowsky v. Stern, Lavinthal, Norgaard &amp; Daly</w:t>
      </w:r>
      <w:r w:rsidR="00F70F86" w:rsidRPr="004006B1">
        <w:rPr>
          <w:sz w:val="24"/>
        </w:rPr>
        <w:t>, 922 F.Supp. 985, 991 (D.N.J. 1996)</w:t>
      </w:r>
      <w:r w:rsidR="004006B1" w:rsidRPr="004006B1">
        <w:rPr>
          <w:sz w:val="24"/>
        </w:rPr>
        <w:t>; Federal</w:t>
      </w:r>
      <w:r w:rsidRPr="004006B1">
        <w:rPr>
          <w:sz w:val="24"/>
        </w:rPr>
        <w:t xml:space="preserve"> Jury Instructions of the Seventh Circuit 5.08 (2017 rev.).</w:t>
      </w:r>
    </w:p>
    <w:p w:rsidR="005712D6" w:rsidRPr="004006B1" w:rsidRDefault="005712D6" w:rsidP="004006B1">
      <w:pPr>
        <w:pStyle w:val="FootnoteText"/>
        <w:jc w:val="both"/>
        <w:rPr>
          <w:sz w:val="24"/>
        </w:rPr>
      </w:pPr>
    </w:p>
  </w:footnote>
  <w:footnote w:id="18">
    <w:p w:rsidR="0038709C" w:rsidRPr="004006B1" w:rsidRDefault="0038709C" w:rsidP="004006B1">
      <w:pPr>
        <w:pStyle w:val="FootnoteText"/>
        <w:jc w:val="both"/>
        <w:rPr>
          <w:sz w:val="24"/>
        </w:rPr>
      </w:pPr>
      <w:r w:rsidRPr="004006B1">
        <w:rPr>
          <w:rStyle w:val="FootnoteReference"/>
          <w:sz w:val="24"/>
        </w:rPr>
        <w:footnoteRef/>
      </w:r>
      <w:r w:rsidR="00073719" w:rsidRPr="004006B1">
        <w:rPr>
          <w:sz w:val="24"/>
        </w:rPr>
        <w:t xml:space="preserve"> </w:t>
      </w:r>
      <w:r w:rsidRPr="004006B1">
        <w:rPr>
          <w:sz w:val="24"/>
        </w:rPr>
        <w:t xml:space="preserve"> </w:t>
      </w:r>
      <w:r w:rsidRPr="004006B1">
        <w:rPr>
          <w:i/>
          <w:sz w:val="24"/>
        </w:rPr>
        <w:t>Grigoletti</w:t>
      </w:r>
      <w:r w:rsidRPr="004006B1">
        <w:rPr>
          <w:sz w:val="24"/>
        </w:rPr>
        <w:t xml:space="preserve">, 118 </w:t>
      </w:r>
      <w:r w:rsidRPr="004006B1">
        <w:rPr>
          <w:i/>
          <w:sz w:val="24"/>
        </w:rPr>
        <w:t>N.J.</w:t>
      </w:r>
      <w:r w:rsidRPr="004006B1">
        <w:rPr>
          <w:sz w:val="24"/>
        </w:rPr>
        <w:t xml:space="preserve"> at 111 (citing </w:t>
      </w:r>
      <w:r w:rsidRPr="004006B1">
        <w:rPr>
          <w:i/>
          <w:sz w:val="24"/>
        </w:rPr>
        <w:t>Connecticut v. Teal</w:t>
      </w:r>
      <w:r w:rsidRPr="004006B1">
        <w:rPr>
          <w:sz w:val="24"/>
        </w:rPr>
        <w:t xml:space="preserve">, 457 </w:t>
      </w:r>
      <w:r w:rsidRPr="004006B1">
        <w:rPr>
          <w:i/>
          <w:sz w:val="24"/>
        </w:rPr>
        <w:t>U.S.</w:t>
      </w:r>
      <w:r w:rsidRPr="004006B1">
        <w:rPr>
          <w:sz w:val="24"/>
        </w:rPr>
        <w:t xml:space="preserve"> 440, 455 (1982)).</w:t>
      </w:r>
    </w:p>
    <w:p w:rsidR="0038709C" w:rsidRPr="004006B1" w:rsidRDefault="0038709C" w:rsidP="004006B1">
      <w:pPr>
        <w:pStyle w:val="FootnoteText"/>
        <w:jc w:val="both"/>
        <w:rPr>
          <w:sz w:val="24"/>
        </w:rPr>
      </w:pPr>
    </w:p>
  </w:footnote>
  <w:footnote w:id="19">
    <w:p w:rsidR="00054432" w:rsidRPr="004006B1" w:rsidRDefault="00054432" w:rsidP="004006B1">
      <w:pPr>
        <w:pStyle w:val="FootnoteText"/>
        <w:jc w:val="both"/>
        <w:rPr>
          <w:sz w:val="24"/>
        </w:rPr>
      </w:pPr>
      <w:r w:rsidRPr="004006B1">
        <w:rPr>
          <w:rStyle w:val="FootnoteReference"/>
          <w:sz w:val="24"/>
        </w:rPr>
        <w:footnoteRef/>
      </w:r>
      <w:r w:rsidRPr="004006B1">
        <w:rPr>
          <w:sz w:val="24"/>
        </w:rPr>
        <w:t xml:space="preserve"> </w:t>
      </w:r>
      <w:r w:rsidR="00073719" w:rsidRPr="004006B1">
        <w:rPr>
          <w:sz w:val="24"/>
        </w:rPr>
        <w:t xml:space="preserve"> </w:t>
      </w:r>
      <w:r w:rsidRPr="004006B1">
        <w:rPr>
          <w:i/>
          <w:sz w:val="24"/>
        </w:rPr>
        <w:t>Dubowsky v. Stern, Lavinthal, Norgaard &amp; Daly</w:t>
      </w:r>
      <w:r w:rsidRPr="004006B1">
        <w:rPr>
          <w:sz w:val="24"/>
        </w:rPr>
        <w:t>, 922 F.Supp. 985, 990-91 (D.N.J. 1996) (</w:t>
      </w:r>
      <w:r w:rsidRPr="004006B1">
        <w:rPr>
          <w:i/>
          <w:sz w:val="24"/>
        </w:rPr>
        <w:t>citing</w:t>
      </w:r>
      <w:r w:rsidRPr="004006B1">
        <w:rPr>
          <w:sz w:val="24"/>
        </w:rPr>
        <w:t xml:space="preserve"> </w:t>
      </w:r>
      <w:hyperlink r:id="rId2" w:anchor="co_pp_sp_506_592" w:history="1">
        <w:r w:rsidRPr="004006B1">
          <w:rPr>
            <w:rStyle w:val="Emphasis"/>
            <w:sz w:val="24"/>
          </w:rPr>
          <w:t>Mulhall v. Advance Sec., Inc.,</w:t>
        </w:r>
        <w:r w:rsidRPr="004006B1">
          <w:rPr>
            <w:rStyle w:val="Hyperlink"/>
            <w:color w:val="auto"/>
            <w:sz w:val="24"/>
            <w:u w:val="none"/>
          </w:rPr>
          <w:t xml:space="preserve"> 19 F.3d 586, 590 (11th Cir.1994)</w:t>
        </w:r>
      </w:hyperlink>
      <w:r w:rsidRPr="004006B1">
        <w:rPr>
          <w:sz w:val="24"/>
        </w:rPr>
        <w:t xml:space="preserve">, </w:t>
      </w:r>
      <w:r w:rsidRPr="004006B1">
        <w:rPr>
          <w:rStyle w:val="Emphasis"/>
          <w:sz w:val="24"/>
        </w:rPr>
        <w:t>cert. denied,</w:t>
      </w:r>
      <w:r w:rsidRPr="004006B1">
        <w:rPr>
          <w:sz w:val="24"/>
        </w:rPr>
        <w:t xml:space="preserve"> </w:t>
      </w:r>
      <w:hyperlink r:id="rId3" w:history="1">
        <w:r w:rsidRPr="004006B1">
          <w:rPr>
            <w:rStyle w:val="Hyperlink"/>
            <w:color w:val="auto"/>
            <w:sz w:val="24"/>
            <w:u w:val="none"/>
          </w:rPr>
          <w:t>513 U.S. 919, 115 S.Ct. 298, 130 L.Ed.2d 212 (1994))</w:t>
        </w:r>
      </w:hyperlink>
      <w:r w:rsidRPr="004006B1">
        <w:rPr>
          <w:sz w:val="24"/>
        </w:rPr>
        <w:t>.</w:t>
      </w:r>
    </w:p>
    <w:p w:rsidR="00073719" w:rsidRPr="004006B1" w:rsidRDefault="00073719" w:rsidP="004006B1">
      <w:pPr>
        <w:pStyle w:val="FootnoteText"/>
        <w:jc w:val="both"/>
        <w:rPr>
          <w:sz w:val="24"/>
        </w:rPr>
      </w:pPr>
    </w:p>
  </w:footnote>
  <w:footnote w:id="20">
    <w:p w:rsidR="0009555A" w:rsidRPr="004006B1" w:rsidRDefault="0009555A" w:rsidP="004006B1">
      <w:pPr>
        <w:pStyle w:val="FootnoteText"/>
        <w:jc w:val="both"/>
        <w:rPr>
          <w:sz w:val="24"/>
        </w:rPr>
      </w:pPr>
      <w:r w:rsidRPr="004006B1">
        <w:rPr>
          <w:rStyle w:val="FootnoteReference"/>
          <w:sz w:val="24"/>
        </w:rPr>
        <w:footnoteRef/>
      </w:r>
      <w:r w:rsidRPr="004006B1">
        <w:rPr>
          <w:sz w:val="24"/>
        </w:rPr>
        <w:t xml:space="preserve"> </w:t>
      </w:r>
      <w:r w:rsidR="00073719" w:rsidRPr="004006B1">
        <w:rPr>
          <w:sz w:val="24"/>
        </w:rPr>
        <w:t xml:space="preserve"> </w:t>
      </w:r>
      <w:r w:rsidRPr="004006B1">
        <w:rPr>
          <w:sz w:val="24"/>
        </w:rPr>
        <w:t>Third Circuit Court of Appeals Model Civil Jury Instruction 11.1.1. (October 2018)</w:t>
      </w:r>
    </w:p>
  </w:footnote>
  <w:footnote w:id="21">
    <w:p w:rsidR="00B23912" w:rsidRPr="004006B1" w:rsidRDefault="00B23912" w:rsidP="004006B1">
      <w:pPr>
        <w:pStyle w:val="FootnoteText"/>
        <w:jc w:val="both"/>
        <w:rPr>
          <w:sz w:val="24"/>
        </w:rPr>
      </w:pPr>
      <w:r w:rsidRPr="004006B1">
        <w:rPr>
          <w:rStyle w:val="FootnoteReference"/>
          <w:sz w:val="24"/>
        </w:rPr>
        <w:footnoteRef/>
      </w:r>
      <w:r w:rsidRPr="004006B1">
        <w:rPr>
          <w:sz w:val="24"/>
        </w:rPr>
        <w:t xml:space="preserve"> </w:t>
      </w:r>
      <w:r w:rsidR="00073719" w:rsidRPr="004006B1">
        <w:rPr>
          <w:sz w:val="24"/>
        </w:rPr>
        <w:t xml:space="preserve"> </w:t>
      </w:r>
      <w:r w:rsidRPr="004006B1">
        <w:rPr>
          <w:sz w:val="24"/>
        </w:rPr>
        <w:t>Third Circuit Court of Appeals Model Civil Jury Instruction 11.2.1. (October 2018).</w:t>
      </w:r>
    </w:p>
    <w:p w:rsidR="00073719" w:rsidRPr="004006B1" w:rsidRDefault="00073719" w:rsidP="004006B1">
      <w:pPr>
        <w:pStyle w:val="FootnoteText"/>
        <w:jc w:val="both"/>
        <w:rPr>
          <w:sz w:val="24"/>
        </w:rPr>
      </w:pPr>
    </w:p>
  </w:footnote>
  <w:footnote w:id="22">
    <w:p w:rsidR="003934DA" w:rsidRPr="004006B1" w:rsidRDefault="003934DA" w:rsidP="004006B1">
      <w:pPr>
        <w:pStyle w:val="FootnoteText"/>
        <w:jc w:val="both"/>
        <w:rPr>
          <w:sz w:val="24"/>
        </w:rPr>
      </w:pPr>
      <w:r w:rsidRPr="004006B1">
        <w:rPr>
          <w:rStyle w:val="FootnoteReference"/>
          <w:sz w:val="24"/>
        </w:rPr>
        <w:footnoteRef/>
      </w:r>
      <w:r w:rsidRPr="004006B1">
        <w:rPr>
          <w:sz w:val="24"/>
        </w:rPr>
        <w:t xml:space="preserve"> </w:t>
      </w:r>
      <w:r w:rsidR="00073719" w:rsidRPr="004006B1">
        <w:rPr>
          <w:sz w:val="24"/>
        </w:rPr>
        <w:t xml:space="preserve"> </w:t>
      </w:r>
      <w:r w:rsidRPr="004006B1">
        <w:rPr>
          <w:sz w:val="24"/>
        </w:rPr>
        <w:t>Third Circuit Court of Appeals Model Civil Jury Instruction 11.2.2. (October 2018).</w:t>
      </w:r>
    </w:p>
  </w:footnote>
  <w:footnote w:id="23">
    <w:p w:rsidR="003934DA" w:rsidRPr="004006B1" w:rsidRDefault="003934DA" w:rsidP="004006B1">
      <w:pPr>
        <w:pStyle w:val="FootnoteText"/>
        <w:jc w:val="both"/>
        <w:rPr>
          <w:sz w:val="24"/>
        </w:rPr>
      </w:pPr>
      <w:r w:rsidRPr="004006B1">
        <w:rPr>
          <w:rStyle w:val="FootnoteReference"/>
          <w:sz w:val="24"/>
        </w:rPr>
        <w:footnoteRef/>
      </w:r>
      <w:r w:rsidRPr="004006B1">
        <w:rPr>
          <w:sz w:val="24"/>
        </w:rPr>
        <w:t xml:space="preserve"> </w:t>
      </w:r>
      <w:r w:rsidR="00073719" w:rsidRPr="004006B1">
        <w:rPr>
          <w:sz w:val="24"/>
        </w:rPr>
        <w:t xml:space="preserve"> </w:t>
      </w:r>
      <w:r w:rsidRPr="004006B1">
        <w:rPr>
          <w:i/>
          <w:sz w:val="24"/>
        </w:rPr>
        <w:t>N.J.S.A.</w:t>
      </w:r>
      <w:r w:rsidRPr="004006B1">
        <w:rPr>
          <w:sz w:val="24"/>
        </w:rPr>
        <w:t xml:space="preserve"> 10:5-12(t).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276" w:rsidRDefault="004C0276">
    <w:pPr>
      <w:tabs>
        <w:tab w:val="right" w:pos="9360"/>
      </w:tabs>
      <w:spacing w:line="240" w:lineRule="atLeast"/>
      <w:jc w:val="both"/>
      <w:rPr>
        <w:b/>
        <w:bCs/>
        <w:spacing w:val="-3"/>
      </w:rPr>
    </w:pPr>
    <w:r>
      <w:rPr>
        <w:spacing w:val="-3"/>
      </w:rPr>
      <w:tab/>
    </w:r>
    <w:r w:rsidR="00ED6CD5">
      <w:rPr>
        <w:b/>
        <w:bCs/>
        <w:spacing w:val="-3"/>
      </w:rPr>
      <w:t>CHARGE 2.</w:t>
    </w:r>
    <w:r w:rsidR="009975ED">
      <w:rPr>
        <w:b/>
        <w:bCs/>
        <w:spacing w:val="-3"/>
      </w:rPr>
      <w:t>24A</w:t>
    </w:r>
    <w:r>
      <w:rPr>
        <w:b/>
        <w:bCs/>
        <w:spacing w:val="-3"/>
      </w:rPr>
      <w:t xml:space="preserve"> — Page </w:t>
    </w:r>
    <w:r>
      <w:rPr>
        <w:b/>
        <w:bCs/>
        <w:spacing w:val="-3"/>
      </w:rPr>
      <w:fldChar w:fldCharType="begin"/>
    </w:r>
    <w:r>
      <w:rPr>
        <w:b/>
        <w:bCs/>
        <w:spacing w:val="-3"/>
      </w:rPr>
      <w:instrText xml:space="preserve"> PAGE </w:instrText>
    </w:r>
    <w:r>
      <w:rPr>
        <w:b/>
        <w:bCs/>
        <w:spacing w:val="-3"/>
      </w:rPr>
      <w:fldChar w:fldCharType="separate"/>
    </w:r>
    <w:r w:rsidR="00257A28">
      <w:rPr>
        <w:b/>
        <w:bCs/>
        <w:noProof/>
        <w:spacing w:val="-3"/>
      </w:rPr>
      <w:t>6</w:t>
    </w:r>
    <w:r>
      <w:rPr>
        <w:b/>
        <w:bCs/>
        <w:spacing w:val="-3"/>
      </w:rPr>
      <w:fldChar w:fldCharType="end"/>
    </w:r>
    <w:r>
      <w:rPr>
        <w:b/>
        <w:bCs/>
        <w:spacing w:val="-3"/>
      </w:rPr>
      <w:t xml:space="preserve"> of </w:t>
    </w:r>
    <w:r>
      <w:rPr>
        <w:b/>
        <w:bCs/>
        <w:spacing w:val="-3"/>
      </w:rPr>
      <w:fldChar w:fldCharType="begin"/>
    </w:r>
    <w:r>
      <w:rPr>
        <w:b/>
        <w:bCs/>
        <w:spacing w:val="-3"/>
      </w:rPr>
      <w:instrText xml:space="preserve"> NUMPAGES </w:instrText>
    </w:r>
    <w:r>
      <w:rPr>
        <w:b/>
        <w:bCs/>
        <w:spacing w:val="-3"/>
      </w:rPr>
      <w:fldChar w:fldCharType="separate"/>
    </w:r>
    <w:r w:rsidR="00257A28">
      <w:rPr>
        <w:b/>
        <w:bCs/>
        <w:noProof/>
        <w:spacing w:val="-3"/>
      </w:rPr>
      <w:t>13</w:t>
    </w:r>
    <w:r>
      <w:rPr>
        <w:b/>
        <w:bCs/>
        <w:spacing w:val="-3"/>
      </w:rPr>
      <w:fldChar w:fldCharType="end"/>
    </w:r>
  </w:p>
  <w:p w:rsidR="001F70EB" w:rsidRDefault="001F70EB">
    <w:pPr>
      <w:tabs>
        <w:tab w:val="right" w:pos="9360"/>
      </w:tabs>
      <w:spacing w:line="240" w:lineRule="atLeast"/>
      <w:jc w:val="both"/>
      <w:rPr>
        <w:b/>
        <w:bCs/>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151DA"/>
    <w:multiLevelType w:val="hybridMultilevel"/>
    <w:tmpl w:val="F98400DC"/>
    <w:lvl w:ilvl="0" w:tplc="779874E6">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FB5A75"/>
    <w:multiLevelType w:val="hybridMultilevel"/>
    <w:tmpl w:val="07744936"/>
    <w:lvl w:ilvl="0" w:tplc="8CAE89C6">
      <w:start w:val="4"/>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1A6C5CE9"/>
    <w:multiLevelType w:val="hybridMultilevel"/>
    <w:tmpl w:val="8A462414"/>
    <w:lvl w:ilvl="0" w:tplc="7970594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E30A80"/>
    <w:multiLevelType w:val="hybridMultilevel"/>
    <w:tmpl w:val="3FB68054"/>
    <w:lvl w:ilvl="0" w:tplc="04090015">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A5F1DB3"/>
    <w:multiLevelType w:val="hybridMultilevel"/>
    <w:tmpl w:val="4F5CFBC6"/>
    <w:lvl w:ilvl="0" w:tplc="11683DE8">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323DB1"/>
    <w:multiLevelType w:val="hybridMultilevel"/>
    <w:tmpl w:val="EED2AEE2"/>
    <w:lvl w:ilvl="0" w:tplc="1944AC14">
      <w:start w:val="4"/>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44B0AB1"/>
    <w:multiLevelType w:val="hybridMultilevel"/>
    <w:tmpl w:val="7188D842"/>
    <w:lvl w:ilvl="0" w:tplc="6080AD5E">
      <w:start w:val="2"/>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5E941109"/>
    <w:multiLevelType w:val="hybridMultilevel"/>
    <w:tmpl w:val="80BAF966"/>
    <w:lvl w:ilvl="0" w:tplc="A790D8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C116ACE"/>
    <w:multiLevelType w:val="hybridMultilevel"/>
    <w:tmpl w:val="06C03DB4"/>
    <w:lvl w:ilvl="0" w:tplc="0CB4C84E">
      <w:start w:val="5"/>
      <w:numFmt w:val="upp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8"/>
  </w:num>
  <w:num w:numId="3">
    <w:abstractNumId w:val="6"/>
  </w:num>
  <w:num w:numId="4">
    <w:abstractNumId w:val="1"/>
  </w:num>
  <w:num w:numId="5">
    <w:abstractNumId w:val="0"/>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7A1"/>
    <w:rsid w:val="000069A5"/>
    <w:rsid w:val="00010C0C"/>
    <w:rsid w:val="000238B5"/>
    <w:rsid w:val="00053471"/>
    <w:rsid w:val="00054432"/>
    <w:rsid w:val="00055A66"/>
    <w:rsid w:val="00073719"/>
    <w:rsid w:val="00092995"/>
    <w:rsid w:val="0009555A"/>
    <w:rsid w:val="000A2F31"/>
    <w:rsid w:val="000A4B07"/>
    <w:rsid w:val="000C4D02"/>
    <w:rsid w:val="000D01A9"/>
    <w:rsid w:val="000F0CC2"/>
    <w:rsid w:val="000F59E1"/>
    <w:rsid w:val="00153F49"/>
    <w:rsid w:val="001C3D22"/>
    <w:rsid w:val="001E6EF9"/>
    <w:rsid w:val="001F5DD6"/>
    <w:rsid w:val="001F70EB"/>
    <w:rsid w:val="00200623"/>
    <w:rsid w:val="00250357"/>
    <w:rsid w:val="00257A28"/>
    <w:rsid w:val="00273BDE"/>
    <w:rsid w:val="002A75C3"/>
    <w:rsid w:val="002B2466"/>
    <w:rsid w:val="002D4412"/>
    <w:rsid w:val="00307509"/>
    <w:rsid w:val="003126D7"/>
    <w:rsid w:val="00325ABD"/>
    <w:rsid w:val="00340398"/>
    <w:rsid w:val="0038709C"/>
    <w:rsid w:val="00392C37"/>
    <w:rsid w:val="003934DA"/>
    <w:rsid w:val="003E1E95"/>
    <w:rsid w:val="003E26FB"/>
    <w:rsid w:val="003E7A70"/>
    <w:rsid w:val="004006B1"/>
    <w:rsid w:val="004327CB"/>
    <w:rsid w:val="00442883"/>
    <w:rsid w:val="00465DD2"/>
    <w:rsid w:val="0047445B"/>
    <w:rsid w:val="004B5B2B"/>
    <w:rsid w:val="004C0276"/>
    <w:rsid w:val="004F19CE"/>
    <w:rsid w:val="004F5FF8"/>
    <w:rsid w:val="004F7475"/>
    <w:rsid w:val="005141D2"/>
    <w:rsid w:val="00547F44"/>
    <w:rsid w:val="0055735E"/>
    <w:rsid w:val="005712D6"/>
    <w:rsid w:val="00575A1F"/>
    <w:rsid w:val="00592B7A"/>
    <w:rsid w:val="005E0EE6"/>
    <w:rsid w:val="0061361B"/>
    <w:rsid w:val="00617564"/>
    <w:rsid w:val="00620D49"/>
    <w:rsid w:val="00643609"/>
    <w:rsid w:val="00655E54"/>
    <w:rsid w:val="006B59B4"/>
    <w:rsid w:val="006D01FE"/>
    <w:rsid w:val="006E41C4"/>
    <w:rsid w:val="00750406"/>
    <w:rsid w:val="00761DBA"/>
    <w:rsid w:val="00766610"/>
    <w:rsid w:val="00786930"/>
    <w:rsid w:val="00796E58"/>
    <w:rsid w:val="007A459B"/>
    <w:rsid w:val="007D58FE"/>
    <w:rsid w:val="007E5906"/>
    <w:rsid w:val="007F56B0"/>
    <w:rsid w:val="008037FB"/>
    <w:rsid w:val="00806FE0"/>
    <w:rsid w:val="0081106D"/>
    <w:rsid w:val="00842203"/>
    <w:rsid w:val="00847B65"/>
    <w:rsid w:val="00856317"/>
    <w:rsid w:val="008A24FB"/>
    <w:rsid w:val="008B21E4"/>
    <w:rsid w:val="008F5DBE"/>
    <w:rsid w:val="00902DAF"/>
    <w:rsid w:val="00925196"/>
    <w:rsid w:val="00953051"/>
    <w:rsid w:val="00963AA2"/>
    <w:rsid w:val="00964658"/>
    <w:rsid w:val="009909FD"/>
    <w:rsid w:val="009975ED"/>
    <w:rsid w:val="009B62B2"/>
    <w:rsid w:val="009E7F3F"/>
    <w:rsid w:val="00A22F36"/>
    <w:rsid w:val="00A519EE"/>
    <w:rsid w:val="00A65B94"/>
    <w:rsid w:val="00A72205"/>
    <w:rsid w:val="00AA63A0"/>
    <w:rsid w:val="00AA6724"/>
    <w:rsid w:val="00AD6D0A"/>
    <w:rsid w:val="00AE1003"/>
    <w:rsid w:val="00AF34D3"/>
    <w:rsid w:val="00B053FD"/>
    <w:rsid w:val="00B23912"/>
    <w:rsid w:val="00B41FB8"/>
    <w:rsid w:val="00B45C61"/>
    <w:rsid w:val="00B46C7B"/>
    <w:rsid w:val="00B473EC"/>
    <w:rsid w:val="00B50D61"/>
    <w:rsid w:val="00B56E9A"/>
    <w:rsid w:val="00B6593B"/>
    <w:rsid w:val="00B7072E"/>
    <w:rsid w:val="00C043F7"/>
    <w:rsid w:val="00C151CA"/>
    <w:rsid w:val="00C45AA0"/>
    <w:rsid w:val="00C46DA0"/>
    <w:rsid w:val="00C8591B"/>
    <w:rsid w:val="00C94A62"/>
    <w:rsid w:val="00CC10B6"/>
    <w:rsid w:val="00CC650A"/>
    <w:rsid w:val="00CD62CC"/>
    <w:rsid w:val="00D21F18"/>
    <w:rsid w:val="00D4497B"/>
    <w:rsid w:val="00D56962"/>
    <w:rsid w:val="00D71186"/>
    <w:rsid w:val="00D808E8"/>
    <w:rsid w:val="00D852BF"/>
    <w:rsid w:val="00D9275E"/>
    <w:rsid w:val="00DA2CAD"/>
    <w:rsid w:val="00DA3E2B"/>
    <w:rsid w:val="00DC52CB"/>
    <w:rsid w:val="00E045CF"/>
    <w:rsid w:val="00E04D89"/>
    <w:rsid w:val="00E25665"/>
    <w:rsid w:val="00E276F0"/>
    <w:rsid w:val="00E3791D"/>
    <w:rsid w:val="00E37EA0"/>
    <w:rsid w:val="00E57D77"/>
    <w:rsid w:val="00E72766"/>
    <w:rsid w:val="00E75AEA"/>
    <w:rsid w:val="00E95E18"/>
    <w:rsid w:val="00EB506B"/>
    <w:rsid w:val="00ED5B26"/>
    <w:rsid w:val="00ED6CD5"/>
    <w:rsid w:val="00F41A20"/>
    <w:rsid w:val="00F43985"/>
    <w:rsid w:val="00F70F86"/>
    <w:rsid w:val="00F93199"/>
    <w:rsid w:val="00FA57A1"/>
    <w:rsid w:val="00FC4DB3"/>
    <w:rsid w:val="00FC7247"/>
    <w:rsid w:val="00FD3B17"/>
    <w:rsid w:val="00FE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48C4C5-4868-4531-8477-8D55A95F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szCs w:val="24"/>
    </w:rPr>
  </w:style>
  <w:style w:type="character" w:styleId="EndnoteReference">
    <w:name w:val="endnote reference"/>
    <w:semiHidden/>
    <w:rPr>
      <w:vertAlign w:val="superscript"/>
    </w:rPr>
  </w:style>
  <w:style w:type="paragraph" w:styleId="FootnoteText">
    <w:name w:val="footnote text"/>
    <w:basedOn w:val="Normal"/>
    <w:semiHidden/>
    <w:rPr>
      <w:sz w:val="20"/>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szCs w:val="24"/>
    </w:rPr>
  </w:style>
  <w:style w:type="character" w:customStyle="1" w:styleId="EquationCaption">
    <w:name w:val="_Equation Caption"/>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 w:val="left" w:pos="720"/>
      </w:tabs>
      <w:spacing w:after="240" w:line="240" w:lineRule="atLeast"/>
      <w:ind w:left="1440" w:hanging="1440"/>
      <w:jc w:val="both"/>
    </w:pPr>
    <w:rPr>
      <w:b/>
      <w:bCs/>
      <w:spacing w:val="-3"/>
    </w:rPr>
  </w:style>
  <w:style w:type="paragraph" w:styleId="BodyTextIndent2">
    <w:name w:val="Body Text Indent 2"/>
    <w:basedOn w:val="Normal"/>
    <w:pPr>
      <w:tabs>
        <w:tab w:val="left" w:pos="-720"/>
        <w:tab w:val="left" w:pos="0"/>
        <w:tab w:val="left" w:pos="720"/>
      </w:tabs>
      <w:ind w:left="2160" w:hanging="2160"/>
      <w:jc w:val="both"/>
    </w:pPr>
    <w:rPr>
      <w:spacing w:val="-3"/>
    </w:rPr>
  </w:style>
  <w:style w:type="paragraph" w:styleId="BalloonText">
    <w:name w:val="Balloon Text"/>
    <w:basedOn w:val="Normal"/>
    <w:semiHidden/>
    <w:rsid w:val="00FA57A1"/>
    <w:rPr>
      <w:rFonts w:ascii="Tahoma" w:hAnsi="Tahoma" w:cs="Tahoma"/>
      <w:sz w:val="16"/>
      <w:szCs w:val="16"/>
    </w:rPr>
  </w:style>
  <w:style w:type="paragraph" w:styleId="BodyText">
    <w:name w:val="Body Text"/>
    <w:basedOn w:val="Normal"/>
    <w:rsid w:val="00092995"/>
    <w:pPr>
      <w:tabs>
        <w:tab w:val="left" w:pos="-720"/>
      </w:tabs>
      <w:spacing w:line="480" w:lineRule="atLeast"/>
      <w:jc w:val="both"/>
    </w:pPr>
    <w:rPr>
      <w:spacing w:val="-3"/>
    </w:rPr>
  </w:style>
  <w:style w:type="character" w:styleId="Emphasis">
    <w:name w:val="Emphasis"/>
    <w:uiPriority w:val="20"/>
    <w:qFormat/>
    <w:rsid w:val="00054432"/>
    <w:rPr>
      <w:i/>
      <w:iCs/>
    </w:rPr>
  </w:style>
  <w:style w:type="character" w:styleId="Hyperlink">
    <w:name w:val="Hyperlink"/>
    <w:uiPriority w:val="99"/>
    <w:unhideWhenUsed/>
    <w:rsid w:val="00054432"/>
    <w:rPr>
      <w:color w:val="0000FF"/>
      <w:u w:val="single"/>
    </w:rPr>
  </w:style>
  <w:style w:type="paragraph" w:styleId="ListParagraph">
    <w:name w:val="List Paragraph"/>
    <w:basedOn w:val="Normal"/>
    <w:uiPriority w:val="34"/>
    <w:qFormat/>
    <w:rsid w:val="00803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04644">
      <w:bodyDiv w:val="1"/>
      <w:marLeft w:val="0"/>
      <w:marRight w:val="0"/>
      <w:marTop w:val="0"/>
      <w:marBottom w:val="0"/>
      <w:divBdr>
        <w:top w:val="none" w:sz="0" w:space="0" w:color="auto"/>
        <w:left w:val="none" w:sz="0" w:space="0" w:color="auto"/>
        <w:bottom w:val="none" w:sz="0" w:space="0" w:color="auto"/>
        <w:right w:val="none" w:sz="0" w:space="0" w:color="auto"/>
      </w:divBdr>
    </w:div>
    <w:div w:id="438181299">
      <w:bodyDiv w:val="1"/>
      <w:marLeft w:val="0"/>
      <w:marRight w:val="0"/>
      <w:marTop w:val="0"/>
      <w:marBottom w:val="0"/>
      <w:divBdr>
        <w:top w:val="none" w:sz="0" w:space="0" w:color="auto"/>
        <w:left w:val="none" w:sz="0" w:space="0" w:color="auto"/>
        <w:bottom w:val="none" w:sz="0" w:space="0" w:color="auto"/>
        <w:right w:val="none" w:sz="0" w:space="0" w:color="auto"/>
      </w:divBdr>
    </w:div>
    <w:div w:id="895432629">
      <w:bodyDiv w:val="1"/>
      <w:marLeft w:val="0"/>
      <w:marRight w:val="0"/>
      <w:marTop w:val="0"/>
      <w:marBottom w:val="0"/>
      <w:divBdr>
        <w:top w:val="none" w:sz="0" w:space="0" w:color="auto"/>
        <w:left w:val="none" w:sz="0" w:space="0" w:color="auto"/>
        <w:bottom w:val="none" w:sz="0" w:space="0" w:color="auto"/>
        <w:right w:val="none" w:sz="0" w:space="0" w:color="auto"/>
      </w:divBdr>
      <w:divsChild>
        <w:div w:id="453329170">
          <w:marLeft w:val="0"/>
          <w:marRight w:val="0"/>
          <w:marTop w:val="209"/>
          <w:marBottom w:val="0"/>
          <w:divBdr>
            <w:top w:val="none" w:sz="0" w:space="0" w:color="auto"/>
            <w:left w:val="none" w:sz="0" w:space="0" w:color="auto"/>
            <w:bottom w:val="none" w:sz="0" w:space="0" w:color="auto"/>
            <w:right w:val="none" w:sz="0" w:space="0" w:color="auto"/>
          </w:divBdr>
          <w:divsChild>
            <w:div w:id="935139754">
              <w:marLeft w:val="0"/>
              <w:marRight w:val="0"/>
              <w:marTop w:val="0"/>
              <w:marBottom w:val="0"/>
              <w:divBdr>
                <w:top w:val="none" w:sz="0" w:space="0" w:color="auto"/>
                <w:left w:val="none" w:sz="0" w:space="0" w:color="auto"/>
                <w:bottom w:val="none" w:sz="0" w:space="0" w:color="auto"/>
                <w:right w:val="none" w:sz="0" w:space="0" w:color="auto"/>
              </w:divBdr>
              <w:divsChild>
                <w:div w:id="126361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3928">
          <w:marLeft w:val="0"/>
          <w:marRight w:val="0"/>
          <w:marTop w:val="209"/>
          <w:marBottom w:val="0"/>
          <w:divBdr>
            <w:top w:val="none" w:sz="0" w:space="0" w:color="auto"/>
            <w:left w:val="none" w:sz="0" w:space="0" w:color="auto"/>
            <w:bottom w:val="none" w:sz="0" w:space="0" w:color="auto"/>
            <w:right w:val="none" w:sz="0" w:space="0" w:color="auto"/>
          </w:divBdr>
          <w:divsChild>
            <w:div w:id="904413980">
              <w:marLeft w:val="0"/>
              <w:marRight w:val="0"/>
              <w:marTop w:val="0"/>
              <w:marBottom w:val="0"/>
              <w:divBdr>
                <w:top w:val="none" w:sz="0" w:space="0" w:color="auto"/>
                <w:left w:val="none" w:sz="0" w:space="0" w:color="auto"/>
                <w:bottom w:val="none" w:sz="0" w:space="0" w:color="auto"/>
                <w:right w:val="none" w:sz="0" w:space="0" w:color="auto"/>
              </w:divBdr>
              <w:divsChild>
                <w:div w:id="9475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6584">
          <w:marLeft w:val="0"/>
          <w:marRight w:val="0"/>
          <w:marTop w:val="209"/>
          <w:marBottom w:val="0"/>
          <w:divBdr>
            <w:top w:val="none" w:sz="0" w:space="0" w:color="auto"/>
            <w:left w:val="none" w:sz="0" w:space="0" w:color="auto"/>
            <w:bottom w:val="none" w:sz="0" w:space="0" w:color="auto"/>
            <w:right w:val="none" w:sz="0" w:space="0" w:color="auto"/>
          </w:divBdr>
          <w:divsChild>
            <w:div w:id="1364788018">
              <w:marLeft w:val="0"/>
              <w:marRight w:val="0"/>
              <w:marTop w:val="209"/>
              <w:marBottom w:val="0"/>
              <w:divBdr>
                <w:top w:val="none" w:sz="0" w:space="0" w:color="auto"/>
                <w:left w:val="none" w:sz="0" w:space="0" w:color="auto"/>
                <w:bottom w:val="none" w:sz="0" w:space="0" w:color="auto"/>
                <w:right w:val="none" w:sz="0" w:space="0" w:color="auto"/>
              </w:divBdr>
              <w:divsChild>
                <w:div w:id="700323330">
                  <w:marLeft w:val="0"/>
                  <w:marRight w:val="0"/>
                  <w:marTop w:val="0"/>
                  <w:marBottom w:val="0"/>
                  <w:divBdr>
                    <w:top w:val="none" w:sz="0" w:space="0" w:color="auto"/>
                    <w:left w:val="none" w:sz="0" w:space="0" w:color="auto"/>
                    <w:bottom w:val="none" w:sz="0" w:space="0" w:color="auto"/>
                    <w:right w:val="none" w:sz="0" w:space="0" w:color="auto"/>
                  </w:divBdr>
                </w:div>
              </w:divsChild>
            </w:div>
            <w:div w:id="1465346040">
              <w:marLeft w:val="0"/>
              <w:marRight w:val="0"/>
              <w:marTop w:val="0"/>
              <w:marBottom w:val="0"/>
              <w:divBdr>
                <w:top w:val="none" w:sz="0" w:space="0" w:color="auto"/>
                <w:left w:val="none" w:sz="0" w:space="0" w:color="auto"/>
                <w:bottom w:val="none" w:sz="0" w:space="0" w:color="auto"/>
                <w:right w:val="none" w:sz="0" w:space="0" w:color="auto"/>
              </w:divBdr>
              <w:divsChild>
                <w:div w:id="19890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7422">
          <w:marLeft w:val="0"/>
          <w:marRight w:val="0"/>
          <w:marTop w:val="0"/>
          <w:marBottom w:val="0"/>
          <w:divBdr>
            <w:top w:val="none" w:sz="0" w:space="0" w:color="auto"/>
            <w:left w:val="none" w:sz="0" w:space="0" w:color="auto"/>
            <w:bottom w:val="none" w:sz="0" w:space="0" w:color="auto"/>
            <w:right w:val="none" w:sz="0" w:space="0" w:color="auto"/>
          </w:divBdr>
        </w:div>
        <w:div w:id="1028867989">
          <w:marLeft w:val="0"/>
          <w:marRight w:val="0"/>
          <w:marTop w:val="209"/>
          <w:marBottom w:val="0"/>
          <w:divBdr>
            <w:top w:val="none" w:sz="0" w:space="0" w:color="auto"/>
            <w:left w:val="none" w:sz="0" w:space="0" w:color="auto"/>
            <w:bottom w:val="none" w:sz="0" w:space="0" w:color="auto"/>
            <w:right w:val="none" w:sz="0" w:space="0" w:color="auto"/>
          </w:divBdr>
          <w:divsChild>
            <w:div w:id="1033071765">
              <w:marLeft w:val="0"/>
              <w:marRight w:val="0"/>
              <w:marTop w:val="0"/>
              <w:marBottom w:val="0"/>
              <w:divBdr>
                <w:top w:val="none" w:sz="0" w:space="0" w:color="auto"/>
                <w:left w:val="none" w:sz="0" w:space="0" w:color="auto"/>
                <w:bottom w:val="none" w:sz="0" w:space="0" w:color="auto"/>
                <w:right w:val="none" w:sz="0" w:space="0" w:color="auto"/>
              </w:divBdr>
              <w:divsChild>
                <w:div w:id="14831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27810">
          <w:marLeft w:val="0"/>
          <w:marRight w:val="0"/>
          <w:marTop w:val="209"/>
          <w:marBottom w:val="0"/>
          <w:divBdr>
            <w:top w:val="none" w:sz="0" w:space="0" w:color="auto"/>
            <w:left w:val="none" w:sz="0" w:space="0" w:color="auto"/>
            <w:bottom w:val="none" w:sz="0" w:space="0" w:color="auto"/>
            <w:right w:val="none" w:sz="0" w:space="0" w:color="auto"/>
          </w:divBdr>
          <w:divsChild>
            <w:div w:id="1289971164">
              <w:marLeft w:val="0"/>
              <w:marRight w:val="0"/>
              <w:marTop w:val="0"/>
              <w:marBottom w:val="0"/>
              <w:divBdr>
                <w:top w:val="none" w:sz="0" w:space="0" w:color="auto"/>
                <w:left w:val="none" w:sz="0" w:space="0" w:color="auto"/>
                <w:bottom w:val="none" w:sz="0" w:space="0" w:color="auto"/>
                <w:right w:val="none" w:sz="0" w:space="0" w:color="auto"/>
              </w:divBdr>
              <w:divsChild>
                <w:div w:id="12932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69228">
      <w:bodyDiv w:val="1"/>
      <w:marLeft w:val="0"/>
      <w:marRight w:val="0"/>
      <w:marTop w:val="0"/>
      <w:marBottom w:val="0"/>
      <w:divBdr>
        <w:top w:val="none" w:sz="0" w:space="0" w:color="auto"/>
        <w:left w:val="none" w:sz="0" w:space="0" w:color="auto"/>
        <w:bottom w:val="none" w:sz="0" w:space="0" w:color="auto"/>
        <w:right w:val="none" w:sz="0" w:space="0" w:color="auto"/>
      </w:divBdr>
    </w:div>
    <w:div w:id="1307010279">
      <w:bodyDiv w:val="1"/>
      <w:marLeft w:val="0"/>
      <w:marRight w:val="0"/>
      <w:marTop w:val="0"/>
      <w:marBottom w:val="0"/>
      <w:divBdr>
        <w:top w:val="none" w:sz="0" w:space="0" w:color="auto"/>
        <w:left w:val="none" w:sz="0" w:space="0" w:color="auto"/>
        <w:bottom w:val="none" w:sz="0" w:space="0" w:color="auto"/>
        <w:right w:val="none" w:sz="0" w:space="0" w:color="auto"/>
      </w:divBdr>
    </w:div>
    <w:div w:id="1433432624">
      <w:bodyDiv w:val="1"/>
      <w:marLeft w:val="0"/>
      <w:marRight w:val="0"/>
      <w:marTop w:val="0"/>
      <w:marBottom w:val="0"/>
      <w:divBdr>
        <w:top w:val="none" w:sz="0" w:space="0" w:color="auto"/>
        <w:left w:val="none" w:sz="0" w:space="0" w:color="auto"/>
        <w:bottom w:val="none" w:sz="0" w:space="0" w:color="auto"/>
        <w:right w:val="none" w:sz="0" w:space="0" w:color="auto"/>
      </w:divBdr>
    </w:div>
    <w:div w:id="16991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1.next.westlaw.com/Link/Document/FullText?findType=Y&amp;serNum=1994157442&amp;pubNum=0000708&amp;originatingDoc=Ie5f8bd12564b11d9bf30d7fdf51b6bd4&amp;refType=RP&amp;originationContext=document&amp;transitionType=DocumentItem&amp;contextData=(sc.Search)" TargetMode="External"/><Relationship Id="rId2" Type="http://schemas.openxmlformats.org/officeDocument/2006/relationships/hyperlink" Target="https://1.next.westlaw.com/Link/Document/FullText?findType=Y&amp;serNum=1994079131&amp;pubNum=0000506&amp;originatingDoc=Ie5f8bd12564b11d9bf30d7fdf51b6bd4&amp;refType=RP&amp;fi=co_pp_sp_506_592&amp;originationContext=document&amp;transitionType=DocumentItem&amp;contextData=(sc.Search)" TargetMode="External"/><Relationship Id="rId1" Type="http://schemas.openxmlformats.org/officeDocument/2006/relationships/hyperlink" Target="http://www.westlaw.com/Link/Document/FullText?findType=Y&amp;serNum=1985122814&amp;pubNum=0000350&amp;originatingDoc=I44df4f9ba75111e0bff3854fb99771ed&amp;refType=RP&amp;fi=co_pp_sp_350_155&amp;originationContext=document&amp;vr=3.0&amp;rs=cblt1.0&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DD74-020B-45B7-92DE-5E304013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2416</Words>
  <Characters>12690</Characters>
  <Application>Microsoft Office Word</Application>
  <DocSecurity>4</DocSecurity>
  <PresentationFormat>11|.DOC</PresentationFormat>
  <Lines>105</Lines>
  <Paragraphs>30</Paragraphs>
  <ScaleCrop>false</ScaleCrop>
  <HeadingPairs>
    <vt:vector size="2" baseType="variant">
      <vt:variant>
        <vt:lpstr>Title</vt:lpstr>
      </vt:variant>
      <vt:variant>
        <vt:i4>1</vt:i4>
      </vt:variant>
    </vt:vector>
  </HeadingPairs>
  <TitlesOfParts>
    <vt:vector size="1" baseType="lpstr">
      <vt:lpstr>Proposed Model Charge on Diane B. Allen Equal Pay Act (MB080681x9D45C) (MB080777).DOC</vt:lpstr>
    </vt:vector>
  </TitlesOfParts>
  <Company>State of NJ-Judiciary</Company>
  <LinksUpToDate>false</LinksUpToDate>
  <CharactersWithSpaces>15076</CharactersWithSpaces>
  <SharedDoc>false</SharedDoc>
  <HLinks>
    <vt:vector size="18" baseType="variant">
      <vt:variant>
        <vt:i4>5308484</vt:i4>
      </vt:variant>
      <vt:variant>
        <vt:i4>6</vt:i4>
      </vt:variant>
      <vt:variant>
        <vt:i4>0</vt:i4>
      </vt:variant>
      <vt:variant>
        <vt:i4>5</vt:i4>
      </vt:variant>
      <vt:variant>
        <vt:lpwstr>https://1.next.westlaw.com/Link/Document/FullText?findType=Y&amp;serNum=1994157442&amp;pubNum=0000708&amp;originatingDoc=Ie5f8bd12564b11d9bf30d7fdf51b6bd4&amp;refType=RP&amp;originationContext=document&amp;transitionType=DocumentItem&amp;contextData=(sc.Search)</vt:lpwstr>
      </vt:variant>
      <vt:variant>
        <vt:lpwstr/>
      </vt:variant>
      <vt:variant>
        <vt:i4>1572889</vt:i4>
      </vt:variant>
      <vt:variant>
        <vt:i4>3</vt:i4>
      </vt:variant>
      <vt:variant>
        <vt:i4>0</vt:i4>
      </vt:variant>
      <vt:variant>
        <vt:i4>5</vt:i4>
      </vt:variant>
      <vt:variant>
        <vt:lpwstr>https://1.next.westlaw.com/Link/Document/FullText?findType=Y&amp;serNum=1994079131&amp;pubNum=0000506&amp;originatingDoc=Ie5f8bd12564b11d9bf30d7fdf51b6bd4&amp;refType=RP&amp;fi=co_pp_sp_506_592&amp;originationContext=document&amp;transitionType=DocumentItem&amp;contextData=(sc.Search)</vt:lpwstr>
      </vt:variant>
      <vt:variant>
        <vt:lpwstr>co_pp_sp_506_592</vt:lpwstr>
      </vt:variant>
      <vt:variant>
        <vt:i4>2752616</vt:i4>
      </vt:variant>
      <vt:variant>
        <vt:i4>0</vt:i4>
      </vt:variant>
      <vt:variant>
        <vt:i4>0</vt:i4>
      </vt:variant>
      <vt:variant>
        <vt:i4>5</vt:i4>
      </vt:variant>
      <vt:variant>
        <vt:lpwstr>http://www.westlaw.com/Link/Document/FullText?findType=Y&amp;serNum=1985122814&amp;pubNum=0000350&amp;originatingDoc=I44df4f9ba75111e0bff3854fb99771ed&amp;refType=RP&amp;fi=co_pp_sp_350_155&amp;originationContext=document&amp;vr=3.0&amp;rs=cblt1.0&amp;transitionType=DocumentItem&amp;contextData=(sc.Search)</vt:lpwstr>
      </vt:variant>
      <vt:variant>
        <vt:lpwstr>co_pp_sp_350_155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Model Charge on Diane B. Allen Equal Pay Act (MB080681x9D45C) (MB080777).DOC</dc:title>
  <dc:subject/>
  <dc:creator>PC307704</dc:creator>
  <cp:keywords/>
  <dc:description/>
  <cp:lastModifiedBy>Jayavidya Mukund</cp:lastModifiedBy>
  <cp:revision>2</cp:revision>
  <cp:lastPrinted>2019-01-17T22:11:00Z</cp:lastPrinted>
  <dcterms:created xsi:type="dcterms:W3CDTF">2020-01-03T21:40:00Z</dcterms:created>
  <dcterms:modified xsi:type="dcterms:W3CDTF">2020-01-03T21:40:00Z</dcterms:modified>
</cp:coreProperties>
</file>