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3A0F" w14:textId="380427F7" w:rsidR="00092995" w:rsidRDefault="00ED6CD5" w:rsidP="00501A07">
      <w:pPr>
        <w:pStyle w:val="BodyTextIndent"/>
        <w:spacing w:after="0" w:line="240" w:lineRule="auto"/>
        <w:rPr>
          <w:b w:val="0"/>
        </w:rPr>
      </w:pPr>
      <w:bookmarkStart w:id="0" w:name="_GoBack"/>
      <w:bookmarkEnd w:id="0"/>
      <w:r w:rsidRPr="00501A07">
        <w:t>2.24</w:t>
      </w:r>
      <w:r w:rsidR="00501A07">
        <w:t>B</w:t>
      </w:r>
      <w:r w:rsidR="00092995" w:rsidRPr="00501A07">
        <w:tab/>
      </w:r>
      <w:r w:rsidR="006B59B4" w:rsidRPr="00501A07">
        <w:tab/>
      </w:r>
      <w:r w:rsidR="00092995" w:rsidRPr="00501A07">
        <w:rPr>
          <w:caps/>
        </w:rPr>
        <w:t>Wage Disparity Under the</w:t>
      </w:r>
      <w:r w:rsidR="008963F7">
        <w:t xml:space="preserve"> NJLAD</w:t>
      </w:r>
      <w:r w:rsidR="008963F7">
        <w:rPr>
          <w:rStyle w:val="FootnoteReference"/>
        </w:rPr>
        <w:footnoteReference w:id="1"/>
      </w:r>
      <w:r w:rsidR="008963F7">
        <w:t xml:space="preserve"> </w:t>
      </w:r>
      <w:r w:rsidR="00092995" w:rsidRPr="00501A07">
        <w:rPr>
          <w:b w:val="0"/>
        </w:rPr>
        <w:t xml:space="preserve">(Approved </w:t>
      </w:r>
      <w:r w:rsidR="00501A07">
        <w:rPr>
          <w:b w:val="0"/>
        </w:rPr>
        <w:t>0</w:t>
      </w:r>
      <w:r w:rsidR="00092995" w:rsidRPr="00501A07">
        <w:rPr>
          <w:b w:val="0"/>
        </w:rPr>
        <w:t>5/</w:t>
      </w:r>
      <w:r w:rsidR="00501A07">
        <w:rPr>
          <w:b w:val="0"/>
        </w:rPr>
        <w:t>19</w:t>
      </w:r>
      <w:r w:rsidR="00092995" w:rsidRPr="00501A07">
        <w:rPr>
          <w:b w:val="0"/>
        </w:rPr>
        <w:t>91</w:t>
      </w:r>
      <w:r w:rsidR="00601C4A">
        <w:rPr>
          <w:b w:val="0"/>
        </w:rPr>
        <w:t>; Revised 11</w:t>
      </w:r>
      <w:r w:rsidR="00501A07">
        <w:rPr>
          <w:b w:val="0"/>
        </w:rPr>
        <w:t>/2019)</w:t>
      </w:r>
    </w:p>
    <w:p w14:paraId="27964AD6" w14:textId="77777777" w:rsidR="00501A07" w:rsidRPr="00501A07" w:rsidRDefault="00501A07" w:rsidP="00501A07">
      <w:pPr>
        <w:pStyle w:val="BodyTextIndent"/>
        <w:spacing w:after="0" w:line="240" w:lineRule="auto"/>
        <w:rPr>
          <w:b w:val="0"/>
        </w:rPr>
      </w:pPr>
    </w:p>
    <w:p w14:paraId="4BC1B11C" w14:textId="77777777" w:rsidR="00BC2636" w:rsidRPr="00501A07" w:rsidRDefault="00501A07" w:rsidP="004D729E">
      <w:pPr>
        <w:tabs>
          <w:tab w:val="left" w:pos="-720"/>
        </w:tabs>
        <w:spacing w:line="480" w:lineRule="auto"/>
        <w:jc w:val="center"/>
        <w:rPr>
          <w:b/>
          <w:spacing w:val="-3"/>
        </w:rPr>
      </w:pPr>
      <w:r w:rsidRPr="00501A07">
        <w:rPr>
          <w:b/>
          <w:i/>
          <w:spacing w:val="-3"/>
        </w:rPr>
        <w:t>NOTE TO JUDGE</w:t>
      </w:r>
    </w:p>
    <w:p w14:paraId="60B44FF1" w14:textId="2C14452B" w:rsidR="008E56BE" w:rsidRDefault="008E56BE" w:rsidP="008E56BE">
      <w:pPr>
        <w:ind w:left="720" w:right="720"/>
        <w:jc w:val="both"/>
        <w:rPr>
          <w:color w:val="212121"/>
          <w:shd w:val="clear" w:color="auto" w:fill="FFFFFF"/>
        </w:rPr>
      </w:pPr>
      <w:r>
        <w:rPr>
          <w:spacing w:val="-3"/>
        </w:rPr>
        <w:t>Section 1 of t</w:t>
      </w:r>
      <w:r w:rsidR="00022182" w:rsidRPr="00501A07">
        <w:rPr>
          <w:spacing w:val="-3"/>
        </w:rPr>
        <w:t xml:space="preserve">his charge is intended for claims of gender discrimination based on </w:t>
      </w:r>
      <w:r w:rsidR="00022182" w:rsidRPr="00D04F25">
        <w:rPr>
          <w:spacing w:val="-3"/>
        </w:rPr>
        <w:t xml:space="preserve">unequal pay for substantially equal work, which are subject to the </w:t>
      </w:r>
      <w:r w:rsidR="00183701">
        <w:rPr>
          <w:spacing w:val="-3"/>
        </w:rPr>
        <w:t xml:space="preserve">general employment discrimination provision of the </w:t>
      </w:r>
      <w:r w:rsidR="00D04F25" w:rsidRPr="00D04F25">
        <w:t xml:space="preserve">New Jersey Law Against Discrimination (“NJLAD”), </w:t>
      </w:r>
      <w:r w:rsidR="00D04F25" w:rsidRPr="00D04F25">
        <w:rPr>
          <w:i/>
        </w:rPr>
        <w:t xml:space="preserve">N.J.S.A. </w:t>
      </w:r>
      <w:r w:rsidR="00D04F25" w:rsidRPr="00D04F25">
        <w:t>10:5-1</w:t>
      </w:r>
      <w:r w:rsidR="000B79C5">
        <w:t xml:space="preserve">2(a), but it is </w:t>
      </w:r>
      <w:r w:rsidR="00D04F25" w:rsidRPr="00D04F25">
        <w:rPr>
          <w:b/>
          <w:spacing w:val="-3"/>
          <w:u w:val="single"/>
        </w:rPr>
        <w:t>not</w:t>
      </w:r>
      <w:r w:rsidR="00D04F25">
        <w:rPr>
          <w:spacing w:val="-3"/>
        </w:rPr>
        <w:t xml:space="preserve"> </w:t>
      </w:r>
      <w:r w:rsidR="00D04F25" w:rsidRPr="00501A07">
        <w:rPr>
          <w:spacing w:val="-3"/>
        </w:rPr>
        <w:t xml:space="preserve">intended for claims of </w:t>
      </w:r>
      <w:r w:rsidR="00D04F25">
        <w:rPr>
          <w:spacing w:val="-3"/>
        </w:rPr>
        <w:t>pay</w:t>
      </w:r>
      <w:r w:rsidR="00D04F25" w:rsidRPr="00501A07">
        <w:rPr>
          <w:spacing w:val="-3"/>
        </w:rPr>
        <w:t xml:space="preserve"> discrimination</w:t>
      </w:r>
      <w:r w:rsidR="00D04F25">
        <w:rPr>
          <w:spacing w:val="-3"/>
        </w:rPr>
        <w:t xml:space="preserve"> under the </w:t>
      </w:r>
      <w:r w:rsidR="00022182" w:rsidRPr="00501A07">
        <w:rPr>
          <w:spacing w:val="-3"/>
        </w:rPr>
        <w:t xml:space="preserve">Diane B. Allen </w:t>
      </w:r>
      <w:r w:rsidR="00022182" w:rsidRPr="00D44AC5">
        <w:rPr>
          <w:spacing w:val="-3"/>
        </w:rPr>
        <w:t>Equal Pay Act (New Jersey Equal Pay Act)</w:t>
      </w:r>
      <w:r w:rsidR="00804D39">
        <w:rPr>
          <w:spacing w:val="-3"/>
        </w:rPr>
        <w:t xml:space="preserve"> (“NJEPA”)</w:t>
      </w:r>
      <w:r w:rsidR="00022182" w:rsidRPr="00D44AC5">
        <w:rPr>
          <w:spacing w:val="-3"/>
        </w:rPr>
        <w:t xml:space="preserve">, </w:t>
      </w:r>
      <w:r w:rsidR="00022182" w:rsidRPr="00D44AC5">
        <w:rPr>
          <w:i/>
          <w:iCs/>
          <w:shd w:val="clear" w:color="auto" w:fill="FFFFFF"/>
        </w:rPr>
        <w:t>N.J.S.A.</w:t>
      </w:r>
      <w:r w:rsidR="00022182" w:rsidRPr="00D44AC5">
        <w:rPr>
          <w:shd w:val="clear" w:color="auto" w:fill="FFFFFF"/>
        </w:rPr>
        <w:t xml:space="preserve"> 10:5-12(t). </w:t>
      </w:r>
      <w:r w:rsidR="00022182" w:rsidRPr="00D44AC5">
        <w:rPr>
          <w:i/>
          <w:iCs/>
          <w:shd w:val="clear" w:color="auto" w:fill="FFFFFF"/>
        </w:rPr>
        <w:t xml:space="preserve">See </w:t>
      </w:r>
      <w:proofErr w:type="spellStart"/>
      <w:r w:rsidR="00022182" w:rsidRPr="00D44AC5">
        <w:rPr>
          <w:i/>
          <w:iCs/>
          <w:shd w:val="clear" w:color="auto" w:fill="FFFFFF"/>
        </w:rPr>
        <w:t>Perrotto</w:t>
      </w:r>
      <w:proofErr w:type="spellEnd"/>
      <w:r w:rsidR="00022182" w:rsidRPr="00D44AC5">
        <w:rPr>
          <w:i/>
          <w:iCs/>
          <w:shd w:val="clear" w:color="auto" w:fill="FFFFFF"/>
        </w:rPr>
        <w:t xml:space="preserve"> v. Morgan Advanced Materials</w:t>
      </w:r>
      <w:r w:rsidR="00022182" w:rsidRPr="00D44AC5">
        <w:rPr>
          <w:shd w:val="clear" w:color="auto" w:fill="FFFFFF"/>
        </w:rPr>
        <w:t xml:space="preserve">, Civ. No. 2:18-13825, 2019 </w:t>
      </w:r>
      <w:r w:rsidR="00D44AC5" w:rsidRPr="00D44AC5">
        <w:t>U.S. Dist. LEXIS 6745</w:t>
      </w:r>
      <w:r w:rsidR="00D44AC5">
        <w:t>,</w:t>
      </w:r>
      <w:r w:rsidR="00D44AC5" w:rsidRPr="00D44AC5">
        <w:rPr>
          <w:shd w:val="clear" w:color="auto" w:fill="FFFFFF"/>
        </w:rPr>
        <w:t xml:space="preserve"> </w:t>
      </w:r>
      <w:r w:rsidR="00022182" w:rsidRPr="00D44AC5">
        <w:rPr>
          <w:shd w:val="clear" w:color="auto" w:fill="FFFFFF"/>
        </w:rPr>
        <w:t xml:space="preserve">at *2 (New Jersey Equal Pay Act applies prospectively). </w:t>
      </w:r>
      <w:r>
        <w:rPr>
          <w:color w:val="212121"/>
          <w:shd w:val="clear" w:color="auto" w:fill="FFFFFF"/>
        </w:rPr>
        <w:t xml:space="preserve">Model Civil Jury Charge 2.24A should be used for claims brought under the New Jersey Equal Pay Act, </w:t>
      </w:r>
      <w:r>
        <w:rPr>
          <w:i/>
          <w:color w:val="212121"/>
          <w:shd w:val="clear" w:color="auto" w:fill="FFFFFF"/>
        </w:rPr>
        <w:t>N.J.S.A.</w:t>
      </w:r>
      <w:r>
        <w:rPr>
          <w:color w:val="212121"/>
          <w:shd w:val="clear" w:color="auto" w:fill="FFFFFF"/>
        </w:rPr>
        <w:t xml:space="preserve"> 10:5-12(t).  </w:t>
      </w:r>
    </w:p>
    <w:p w14:paraId="006BC96A" w14:textId="77777777" w:rsidR="008E56BE" w:rsidRDefault="008E56BE" w:rsidP="008E56BE">
      <w:pPr>
        <w:ind w:left="720" w:right="720"/>
        <w:jc w:val="both"/>
        <w:rPr>
          <w:color w:val="212121"/>
          <w:shd w:val="clear" w:color="auto" w:fill="FFFFFF"/>
        </w:rPr>
      </w:pPr>
    </w:p>
    <w:p w14:paraId="421A9A76" w14:textId="77777777" w:rsidR="008E56BE" w:rsidRPr="001016E0" w:rsidRDefault="008E56BE" w:rsidP="008E56BE">
      <w:pPr>
        <w:ind w:left="720" w:right="720"/>
        <w:jc w:val="both"/>
        <w:rPr>
          <w:color w:val="212121"/>
          <w:shd w:val="clear" w:color="auto" w:fill="FFFFFF"/>
        </w:rPr>
      </w:pPr>
      <w:r>
        <w:rPr>
          <w:color w:val="212121"/>
          <w:shd w:val="clear" w:color="auto" w:fill="FFFFFF"/>
        </w:rPr>
        <w:t xml:space="preserve">Section 2 of this charge should be used for other claims of pay discrimination, which arise under the </w:t>
      </w:r>
      <w:r>
        <w:rPr>
          <w:spacing w:val="-3"/>
        </w:rPr>
        <w:t xml:space="preserve">general employment discrimination provision of the NJLAD, </w:t>
      </w:r>
      <w:r>
        <w:rPr>
          <w:i/>
          <w:spacing w:val="-3"/>
        </w:rPr>
        <w:t>N.J.S.A.</w:t>
      </w:r>
      <w:r>
        <w:rPr>
          <w:spacing w:val="-3"/>
        </w:rPr>
        <w:t xml:space="preserve"> 10:5-12(a) and not under the New Jersey Equal Pay Act, </w:t>
      </w:r>
      <w:r>
        <w:rPr>
          <w:i/>
          <w:iCs/>
          <w:spacing w:val="-3"/>
        </w:rPr>
        <w:t>N.J.S.A.</w:t>
      </w:r>
      <w:r>
        <w:rPr>
          <w:spacing w:val="-3"/>
        </w:rPr>
        <w:t xml:space="preserve"> 10:5-12(t).</w:t>
      </w:r>
    </w:p>
    <w:p w14:paraId="11A46821" w14:textId="77777777" w:rsidR="00D04F25" w:rsidRDefault="00D04F25" w:rsidP="00777757">
      <w:pPr>
        <w:ind w:left="720" w:right="720"/>
        <w:jc w:val="both"/>
        <w:rPr>
          <w:shd w:val="clear" w:color="auto" w:fill="FFFFFF"/>
        </w:rPr>
      </w:pPr>
    </w:p>
    <w:p w14:paraId="6AEC5AB8" w14:textId="77777777" w:rsidR="00092995" w:rsidRPr="00501A07" w:rsidRDefault="00092995" w:rsidP="00501A07">
      <w:pPr>
        <w:tabs>
          <w:tab w:val="left" w:pos="-720"/>
          <w:tab w:val="left" w:pos="0"/>
          <w:tab w:val="left" w:pos="720"/>
          <w:tab w:val="left" w:pos="1440"/>
        </w:tabs>
        <w:spacing w:line="480" w:lineRule="auto"/>
        <w:ind w:left="2160" w:hanging="2160"/>
        <w:jc w:val="both"/>
        <w:rPr>
          <w:spacing w:val="-3"/>
        </w:rPr>
      </w:pPr>
      <w:r w:rsidRPr="00501A07">
        <w:rPr>
          <w:b/>
          <w:bCs/>
          <w:spacing w:val="-3"/>
        </w:rPr>
        <w:tab/>
        <w:t>1.</w:t>
      </w:r>
      <w:r w:rsidRPr="00501A07">
        <w:rPr>
          <w:b/>
          <w:bCs/>
          <w:spacing w:val="-3"/>
        </w:rPr>
        <w:tab/>
        <w:t>Substantially Equal Jobs</w:t>
      </w:r>
    </w:p>
    <w:p w14:paraId="08613504" w14:textId="76A0E5C1" w:rsidR="00092995" w:rsidRPr="00501A07" w:rsidRDefault="00501A07" w:rsidP="00501A07">
      <w:pPr>
        <w:tabs>
          <w:tab w:val="left" w:pos="-720"/>
          <w:tab w:val="left" w:pos="0"/>
        </w:tabs>
        <w:spacing w:line="480" w:lineRule="auto"/>
        <w:jc w:val="both"/>
        <w:rPr>
          <w:spacing w:val="-3"/>
        </w:rPr>
      </w:pPr>
      <w:r>
        <w:rPr>
          <w:spacing w:val="-3"/>
        </w:rPr>
        <w:tab/>
      </w:r>
      <w:r w:rsidR="00092995" w:rsidRPr="00501A07">
        <w:rPr>
          <w:spacing w:val="-3"/>
        </w:rPr>
        <w:t>Plaintiff has asserted that her</w:t>
      </w:r>
      <w:r w:rsidR="00092995" w:rsidRPr="00501A07">
        <w:rPr>
          <w:rStyle w:val="FootnoteReference"/>
          <w:spacing w:val="-3"/>
        </w:rPr>
        <w:footnoteReference w:id="2"/>
      </w:r>
      <w:r w:rsidR="00092995" w:rsidRPr="00501A07">
        <w:rPr>
          <w:spacing w:val="-3"/>
        </w:rPr>
        <w:t xml:space="preserve"> employer violated the </w:t>
      </w:r>
      <w:r w:rsidR="00092995" w:rsidRPr="008E56BE">
        <w:rPr>
          <w:spacing w:val="-3"/>
        </w:rPr>
        <w:t>NJLAD</w:t>
      </w:r>
      <w:r w:rsidR="00092995" w:rsidRPr="00501A07">
        <w:rPr>
          <w:spacing w:val="-3"/>
        </w:rPr>
        <w:t xml:space="preserve"> by paying her lower wage than those paid to men for equal work.</w:t>
      </w:r>
    </w:p>
    <w:p w14:paraId="5ADDC8BB" w14:textId="5DAF3734" w:rsidR="00092995" w:rsidRPr="00501A07" w:rsidRDefault="00092995" w:rsidP="00EB1771">
      <w:pPr>
        <w:tabs>
          <w:tab w:val="left" w:pos="-720"/>
        </w:tabs>
        <w:spacing w:line="480" w:lineRule="auto"/>
        <w:jc w:val="both"/>
        <w:rPr>
          <w:spacing w:val="-3"/>
        </w:rPr>
      </w:pPr>
      <w:r w:rsidRPr="00501A07">
        <w:rPr>
          <w:spacing w:val="-3"/>
        </w:rPr>
        <w:lastRenderedPageBreak/>
        <w:tab/>
        <w:t xml:space="preserve">In order to establish an initial case of wage discrimination under the </w:t>
      </w:r>
      <w:r w:rsidR="008E56BE" w:rsidRPr="008E56BE">
        <w:rPr>
          <w:spacing w:val="-3"/>
        </w:rPr>
        <w:t>NJLAD</w:t>
      </w:r>
      <w:r w:rsidRPr="00501A07">
        <w:rPr>
          <w:spacing w:val="-3"/>
        </w:rPr>
        <w:t>, a woman must show that:</w:t>
      </w:r>
    </w:p>
    <w:p w14:paraId="096A9A82" w14:textId="77777777" w:rsidR="00092995" w:rsidRPr="00501A07" w:rsidRDefault="00092995" w:rsidP="00501A07">
      <w:pPr>
        <w:pStyle w:val="BodyTextIndent"/>
        <w:numPr>
          <w:ilvl w:val="0"/>
          <w:numId w:val="6"/>
        </w:numPr>
        <w:spacing w:after="0" w:line="240" w:lineRule="auto"/>
        <w:ind w:left="2160"/>
        <w:rPr>
          <w:b w:val="0"/>
        </w:rPr>
      </w:pPr>
      <w:r w:rsidRPr="00501A07">
        <w:rPr>
          <w:b w:val="0"/>
        </w:rPr>
        <w:t xml:space="preserve">The work she did was substantially equal to that performed by male employees; and </w:t>
      </w:r>
    </w:p>
    <w:p w14:paraId="59B62845" w14:textId="77777777" w:rsidR="00501A07" w:rsidRPr="00501A07" w:rsidRDefault="00501A07" w:rsidP="00501A07">
      <w:pPr>
        <w:pStyle w:val="BodyTextIndent"/>
        <w:spacing w:after="0" w:line="240" w:lineRule="auto"/>
        <w:ind w:left="2160" w:firstLine="0"/>
        <w:rPr>
          <w:b w:val="0"/>
        </w:rPr>
      </w:pPr>
    </w:p>
    <w:p w14:paraId="3C33BE00" w14:textId="74C2115C" w:rsidR="00501A07" w:rsidRDefault="00392C37" w:rsidP="008963F7">
      <w:pPr>
        <w:pStyle w:val="BodyTextIndent"/>
        <w:tabs>
          <w:tab w:val="clear" w:pos="-720"/>
          <w:tab w:val="clear" w:pos="0"/>
          <w:tab w:val="clear" w:pos="720"/>
        </w:tabs>
        <w:spacing w:after="0" w:line="240" w:lineRule="auto"/>
        <w:ind w:left="2160" w:hanging="720"/>
        <w:rPr>
          <w:b w:val="0"/>
        </w:rPr>
      </w:pPr>
      <w:r w:rsidRPr="00501A07">
        <w:rPr>
          <w:b w:val="0"/>
        </w:rPr>
        <w:t>b</w:t>
      </w:r>
      <w:r w:rsidR="00092995" w:rsidRPr="00501A07">
        <w:rPr>
          <w:b w:val="0"/>
        </w:rPr>
        <w:t>.</w:t>
      </w:r>
      <w:r w:rsidR="00092995" w:rsidRPr="00501A07">
        <w:rPr>
          <w:b w:val="0"/>
        </w:rPr>
        <w:tab/>
        <w:t>She received a different rate of pay for this substantially equal work.</w:t>
      </w:r>
    </w:p>
    <w:p w14:paraId="280CE529" w14:textId="77777777" w:rsidR="00501A07" w:rsidRDefault="00501A07" w:rsidP="00501A07">
      <w:pPr>
        <w:pStyle w:val="BodyTextIndent"/>
        <w:spacing w:after="0" w:line="240" w:lineRule="auto"/>
        <w:ind w:left="0" w:firstLine="0"/>
      </w:pPr>
    </w:p>
    <w:p w14:paraId="11C02399" w14:textId="1B2FDB81" w:rsidR="00092995" w:rsidRPr="00501A07" w:rsidRDefault="00501A07" w:rsidP="00501A07">
      <w:pPr>
        <w:pStyle w:val="BodyTextIndent"/>
        <w:spacing w:after="0" w:line="480" w:lineRule="auto"/>
        <w:ind w:left="0" w:firstLine="0"/>
        <w:rPr>
          <w:b w:val="0"/>
        </w:rPr>
      </w:pPr>
      <w:r>
        <w:tab/>
      </w:r>
      <w:r w:rsidR="00092995" w:rsidRPr="00501A07">
        <w:rPr>
          <w:b w:val="0"/>
        </w:rPr>
        <w:t>I charge you that substantially equal work is work “on jobs the performance of which requires equal skill, effort and responsibility</w:t>
      </w:r>
      <w:r w:rsidR="00C9485E">
        <w:rPr>
          <w:b w:val="0"/>
        </w:rPr>
        <w:t>,</w:t>
      </w:r>
      <w:r w:rsidR="00092995" w:rsidRPr="00501A07">
        <w:rPr>
          <w:b w:val="0"/>
        </w:rPr>
        <w:t xml:space="preserve"> an</w:t>
      </w:r>
      <w:r w:rsidR="00C9485E">
        <w:rPr>
          <w:b w:val="0"/>
        </w:rPr>
        <w:t>d</w:t>
      </w:r>
      <w:r w:rsidR="00092995" w:rsidRPr="00501A07">
        <w:rPr>
          <w:b w:val="0"/>
        </w:rPr>
        <w:t xml:space="preserve"> which are performed under similar working conditions.”</w:t>
      </w:r>
      <w:r w:rsidR="00092995" w:rsidRPr="00501A07">
        <w:rPr>
          <w:rStyle w:val="FootnoteReference"/>
          <w:b w:val="0"/>
        </w:rPr>
        <w:footnoteReference w:id="3"/>
      </w:r>
    </w:p>
    <w:p w14:paraId="132265EC" w14:textId="77777777" w:rsidR="00092995" w:rsidRPr="00501A07" w:rsidRDefault="00092995" w:rsidP="00501A07">
      <w:pPr>
        <w:tabs>
          <w:tab w:val="left" w:pos="-720"/>
          <w:tab w:val="left" w:pos="0"/>
        </w:tabs>
        <w:spacing w:line="480" w:lineRule="auto"/>
        <w:jc w:val="both"/>
        <w:rPr>
          <w:spacing w:val="-3"/>
        </w:rPr>
      </w:pPr>
      <w:r w:rsidRPr="00501A07">
        <w:rPr>
          <w:spacing w:val="-3"/>
        </w:rPr>
        <w:tab/>
        <w:t>If a plaintiff establishes these two elements by a preponderance of the evidence, the defendant employer has the burden of proving by a preponderance of the evidence that the wage disparity is the result of one of four facts:</w:t>
      </w:r>
    </w:p>
    <w:p w14:paraId="29ACD133" w14:textId="77777777" w:rsidR="00092995" w:rsidRPr="00501A07" w:rsidRDefault="00092995" w:rsidP="00501A07">
      <w:pPr>
        <w:tabs>
          <w:tab w:val="left" w:pos="-720"/>
          <w:tab w:val="left" w:pos="0"/>
        </w:tabs>
        <w:spacing w:line="480" w:lineRule="auto"/>
        <w:jc w:val="both"/>
        <w:rPr>
          <w:spacing w:val="-3"/>
        </w:rPr>
      </w:pPr>
      <w:r w:rsidRPr="00501A07">
        <w:rPr>
          <w:spacing w:val="-3"/>
        </w:rPr>
        <w:tab/>
      </w:r>
      <w:r w:rsidRPr="00501A07">
        <w:rPr>
          <w:spacing w:val="-3"/>
        </w:rPr>
        <w:tab/>
      </w:r>
      <w:r w:rsidR="00ED5B26" w:rsidRPr="00501A07">
        <w:rPr>
          <w:spacing w:val="-3"/>
        </w:rPr>
        <w:tab/>
      </w:r>
      <w:r w:rsidR="00392C37" w:rsidRPr="00501A07">
        <w:rPr>
          <w:spacing w:val="-3"/>
        </w:rPr>
        <w:t>a</w:t>
      </w:r>
      <w:r w:rsidRPr="00501A07">
        <w:rPr>
          <w:spacing w:val="-3"/>
        </w:rPr>
        <w:t>.</w:t>
      </w:r>
      <w:r w:rsidRPr="00501A07">
        <w:rPr>
          <w:spacing w:val="-3"/>
        </w:rPr>
        <w:tab/>
        <w:t xml:space="preserve">A </w:t>
      </w:r>
      <w:r w:rsidRPr="00501A07">
        <w:rPr>
          <w:i/>
          <w:iCs/>
          <w:spacing w:val="-3"/>
        </w:rPr>
        <w:t>bona</w:t>
      </w:r>
      <w:r w:rsidRPr="00501A07">
        <w:rPr>
          <w:spacing w:val="-3"/>
        </w:rPr>
        <w:t xml:space="preserve"> </w:t>
      </w:r>
      <w:r w:rsidRPr="00501A07">
        <w:rPr>
          <w:i/>
          <w:iCs/>
          <w:spacing w:val="-3"/>
        </w:rPr>
        <w:t>fide</w:t>
      </w:r>
      <w:r w:rsidRPr="00501A07">
        <w:rPr>
          <w:spacing w:val="-3"/>
        </w:rPr>
        <w:t xml:space="preserve"> seniority system, or</w:t>
      </w:r>
    </w:p>
    <w:p w14:paraId="65E2496C" w14:textId="77777777" w:rsidR="00092995" w:rsidRPr="00501A07" w:rsidRDefault="00392C37" w:rsidP="00501A07">
      <w:pPr>
        <w:tabs>
          <w:tab w:val="left" w:pos="-720"/>
          <w:tab w:val="left" w:pos="0"/>
        </w:tabs>
        <w:spacing w:line="480" w:lineRule="auto"/>
        <w:jc w:val="both"/>
        <w:rPr>
          <w:spacing w:val="-3"/>
        </w:rPr>
      </w:pPr>
      <w:r w:rsidRPr="00501A07">
        <w:rPr>
          <w:spacing w:val="-3"/>
        </w:rPr>
        <w:tab/>
      </w:r>
      <w:r w:rsidRPr="00501A07">
        <w:rPr>
          <w:spacing w:val="-3"/>
        </w:rPr>
        <w:tab/>
      </w:r>
      <w:r w:rsidRPr="00501A07">
        <w:rPr>
          <w:spacing w:val="-3"/>
        </w:rPr>
        <w:tab/>
        <w:t>b</w:t>
      </w:r>
      <w:r w:rsidR="00ED5B26" w:rsidRPr="00501A07">
        <w:rPr>
          <w:spacing w:val="-3"/>
        </w:rPr>
        <w:t>.</w:t>
      </w:r>
      <w:r w:rsidR="00ED5B26" w:rsidRPr="00501A07">
        <w:rPr>
          <w:spacing w:val="-3"/>
        </w:rPr>
        <w:tab/>
      </w:r>
      <w:r w:rsidR="00092995" w:rsidRPr="00501A07">
        <w:rPr>
          <w:spacing w:val="-3"/>
        </w:rPr>
        <w:t>a merit system, or</w:t>
      </w:r>
    </w:p>
    <w:p w14:paraId="3527A168" w14:textId="77777777" w:rsidR="00092995" w:rsidRDefault="00392C37" w:rsidP="00F34315">
      <w:pPr>
        <w:pStyle w:val="BodyTextIndent"/>
        <w:spacing w:after="0" w:line="240" w:lineRule="auto"/>
        <w:ind w:left="2880" w:hanging="720"/>
        <w:rPr>
          <w:b w:val="0"/>
        </w:rPr>
      </w:pPr>
      <w:r w:rsidRPr="00501A07">
        <w:rPr>
          <w:b w:val="0"/>
        </w:rPr>
        <w:t>c</w:t>
      </w:r>
      <w:r w:rsidR="00092995" w:rsidRPr="00501A07">
        <w:rPr>
          <w:b w:val="0"/>
        </w:rPr>
        <w:t>.</w:t>
      </w:r>
      <w:r w:rsidR="00092995" w:rsidRPr="00501A07">
        <w:rPr>
          <w:b w:val="0"/>
        </w:rPr>
        <w:tab/>
        <w:t>a system that measures earnings by quantity or quality of production, or</w:t>
      </w:r>
    </w:p>
    <w:p w14:paraId="4C67DF35" w14:textId="77777777" w:rsidR="00501A07" w:rsidRPr="00501A07" w:rsidRDefault="00501A07" w:rsidP="00501A07">
      <w:pPr>
        <w:pStyle w:val="BodyTextIndent"/>
        <w:spacing w:after="0" w:line="240" w:lineRule="auto"/>
        <w:ind w:left="2880" w:hanging="2880"/>
        <w:rPr>
          <w:b w:val="0"/>
        </w:rPr>
      </w:pPr>
    </w:p>
    <w:p w14:paraId="47EAD895" w14:textId="77777777" w:rsidR="00092995" w:rsidRPr="00501A07" w:rsidRDefault="00092995" w:rsidP="00501A07">
      <w:pPr>
        <w:tabs>
          <w:tab w:val="left" w:pos="-720"/>
          <w:tab w:val="left" w:pos="0"/>
        </w:tabs>
        <w:spacing w:line="480" w:lineRule="auto"/>
        <w:jc w:val="both"/>
        <w:rPr>
          <w:spacing w:val="-3"/>
        </w:rPr>
      </w:pPr>
      <w:r w:rsidRPr="00501A07">
        <w:rPr>
          <w:spacing w:val="-3"/>
        </w:rPr>
        <w:tab/>
      </w:r>
      <w:r w:rsidRPr="00501A07">
        <w:rPr>
          <w:spacing w:val="-3"/>
        </w:rPr>
        <w:tab/>
      </w:r>
      <w:r w:rsidR="00ED5B26" w:rsidRPr="00501A07">
        <w:rPr>
          <w:spacing w:val="-3"/>
        </w:rPr>
        <w:tab/>
      </w:r>
      <w:r w:rsidR="00392C37" w:rsidRPr="00501A07">
        <w:rPr>
          <w:spacing w:val="-3"/>
        </w:rPr>
        <w:t>d</w:t>
      </w:r>
      <w:r w:rsidRPr="00501A07">
        <w:rPr>
          <w:spacing w:val="-3"/>
        </w:rPr>
        <w:t>.</w:t>
      </w:r>
      <w:r w:rsidRPr="00501A07">
        <w:rPr>
          <w:spacing w:val="-3"/>
        </w:rPr>
        <w:tab/>
        <w:t>a differential based on any factor other than sex.</w:t>
      </w:r>
    </w:p>
    <w:p w14:paraId="1783AE4A" w14:textId="77777777" w:rsidR="00092995" w:rsidRPr="00501A07" w:rsidRDefault="00ED5B26" w:rsidP="00501A07">
      <w:pPr>
        <w:tabs>
          <w:tab w:val="left" w:pos="-720"/>
          <w:tab w:val="left" w:pos="0"/>
        </w:tabs>
        <w:spacing w:line="480" w:lineRule="auto"/>
        <w:jc w:val="both"/>
        <w:rPr>
          <w:spacing w:val="-3"/>
        </w:rPr>
      </w:pPr>
      <w:r w:rsidRPr="00501A07">
        <w:rPr>
          <w:spacing w:val="-3"/>
        </w:rPr>
        <w:tab/>
      </w:r>
      <w:r w:rsidR="00092995" w:rsidRPr="00501A07">
        <w:rPr>
          <w:spacing w:val="-3"/>
        </w:rPr>
        <w:t xml:space="preserve">If defendant proves one of these factors by a preponderance of the evidence, you </w:t>
      </w:r>
      <w:r w:rsidR="00092995" w:rsidRPr="00501A07">
        <w:rPr>
          <w:spacing w:val="-3"/>
        </w:rPr>
        <w:lastRenderedPageBreak/>
        <w:t>must find in favor of defendant.</w:t>
      </w:r>
      <w:r w:rsidR="00092995" w:rsidRPr="00501A07">
        <w:rPr>
          <w:rStyle w:val="FootnoteReference"/>
          <w:spacing w:val="-3"/>
        </w:rPr>
        <w:footnoteReference w:id="4"/>
      </w:r>
    </w:p>
    <w:p w14:paraId="31C1FE69" w14:textId="77777777" w:rsidR="00092995" w:rsidRPr="00501A07" w:rsidRDefault="00501A07" w:rsidP="00501A07">
      <w:pPr>
        <w:tabs>
          <w:tab w:val="left" w:pos="-720"/>
          <w:tab w:val="left" w:pos="0"/>
        </w:tabs>
        <w:spacing w:line="480" w:lineRule="auto"/>
        <w:jc w:val="both"/>
        <w:rPr>
          <w:spacing w:val="-3"/>
        </w:rPr>
      </w:pPr>
      <w:r>
        <w:rPr>
          <w:spacing w:val="-3"/>
        </w:rPr>
        <w:tab/>
      </w:r>
      <w:r w:rsidR="00092995" w:rsidRPr="00501A07">
        <w:rPr>
          <w:b/>
          <w:bCs/>
          <w:spacing w:val="-3"/>
        </w:rPr>
        <w:t>2.</w:t>
      </w:r>
      <w:r w:rsidR="00092995" w:rsidRPr="00501A07">
        <w:rPr>
          <w:b/>
          <w:bCs/>
          <w:spacing w:val="-3"/>
        </w:rPr>
        <w:tab/>
        <w:t>Similar Jobs</w:t>
      </w:r>
      <w:r w:rsidR="00092995" w:rsidRPr="00501A07">
        <w:rPr>
          <w:rStyle w:val="FootnoteReference"/>
          <w:b/>
          <w:bCs/>
          <w:spacing w:val="-3"/>
        </w:rPr>
        <w:footnoteReference w:id="5"/>
      </w:r>
    </w:p>
    <w:p w14:paraId="7A49DE74" w14:textId="77777777" w:rsidR="00092995" w:rsidRPr="00501A07" w:rsidRDefault="00092995" w:rsidP="00501A07">
      <w:pPr>
        <w:keepLines/>
        <w:tabs>
          <w:tab w:val="left" w:pos="-720"/>
          <w:tab w:val="left" w:pos="0"/>
        </w:tabs>
        <w:spacing w:line="480" w:lineRule="auto"/>
        <w:jc w:val="both"/>
        <w:rPr>
          <w:spacing w:val="-3"/>
        </w:rPr>
      </w:pPr>
      <w:r w:rsidRPr="00501A07">
        <w:rPr>
          <w:spacing w:val="-3"/>
        </w:rPr>
        <w:tab/>
        <w:t>In order to establish an initial case of wage disparity or discrimination, a plaintiff must show that:</w:t>
      </w:r>
    </w:p>
    <w:p w14:paraId="7EE7FFF3" w14:textId="77777777" w:rsidR="00092995" w:rsidRPr="00501A07" w:rsidRDefault="00092995" w:rsidP="00501A07">
      <w:pPr>
        <w:tabs>
          <w:tab w:val="left" w:pos="-720"/>
          <w:tab w:val="left" w:pos="0"/>
        </w:tabs>
        <w:spacing w:line="480" w:lineRule="auto"/>
        <w:jc w:val="both"/>
        <w:rPr>
          <w:spacing w:val="-3"/>
        </w:rPr>
      </w:pPr>
      <w:r w:rsidRPr="00501A07">
        <w:rPr>
          <w:spacing w:val="-3"/>
        </w:rPr>
        <w:tab/>
      </w:r>
      <w:r w:rsidRPr="00501A07">
        <w:rPr>
          <w:spacing w:val="-3"/>
        </w:rPr>
        <w:tab/>
      </w:r>
      <w:r w:rsidR="00392C37" w:rsidRPr="00501A07">
        <w:rPr>
          <w:spacing w:val="-3"/>
        </w:rPr>
        <w:t>a</w:t>
      </w:r>
      <w:r w:rsidRPr="00501A07">
        <w:rPr>
          <w:spacing w:val="-3"/>
        </w:rPr>
        <w:t>.</w:t>
      </w:r>
      <w:r w:rsidRPr="00501A07">
        <w:rPr>
          <w:spacing w:val="-3"/>
        </w:rPr>
        <w:tab/>
      </w:r>
      <w:r w:rsidR="00C9485E" w:rsidRPr="0041491C">
        <w:t>[</w:t>
      </w:r>
      <w:r w:rsidR="00C9485E" w:rsidRPr="006976EB">
        <w:rPr>
          <w:i/>
        </w:rPr>
        <w:t>He/She</w:t>
      </w:r>
      <w:r w:rsidR="00C9485E" w:rsidRPr="0041491C">
        <w:t>]</w:t>
      </w:r>
      <w:r w:rsidRPr="00501A07">
        <w:rPr>
          <w:spacing w:val="-3"/>
        </w:rPr>
        <w:t xml:space="preserve"> is a member of a protected class;</w:t>
      </w:r>
    </w:p>
    <w:p w14:paraId="2552F834" w14:textId="77777777" w:rsidR="00092995" w:rsidRPr="00501A07" w:rsidRDefault="00392C37" w:rsidP="00501A07">
      <w:pPr>
        <w:tabs>
          <w:tab w:val="left" w:pos="-720"/>
          <w:tab w:val="left" w:pos="0"/>
          <w:tab w:val="left" w:pos="720"/>
          <w:tab w:val="left" w:pos="1440"/>
        </w:tabs>
        <w:ind w:left="2160" w:hanging="2160"/>
        <w:jc w:val="both"/>
        <w:rPr>
          <w:spacing w:val="-3"/>
        </w:rPr>
      </w:pPr>
      <w:r w:rsidRPr="00501A07">
        <w:rPr>
          <w:spacing w:val="-3"/>
        </w:rPr>
        <w:tab/>
      </w:r>
      <w:r w:rsidRPr="00501A07">
        <w:rPr>
          <w:spacing w:val="-3"/>
        </w:rPr>
        <w:tab/>
        <w:t>b</w:t>
      </w:r>
      <w:r w:rsidR="00092995" w:rsidRPr="00501A07">
        <w:rPr>
          <w:spacing w:val="-3"/>
        </w:rPr>
        <w:t>.</w:t>
      </w:r>
      <w:r w:rsidR="00092995" w:rsidRPr="00501A07">
        <w:rPr>
          <w:spacing w:val="-3"/>
        </w:rPr>
        <w:tab/>
      </w:r>
      <w:r w:rsidR="00C9485E" w:rsidRPr="0041491C">
        <w:t>[</w:t>
      </w:r>
      <w:r w:rsidR="00C9485E" w:rsidRPr="006976EB">
        <w:rPr>
          <w:i/>
        </w:rPr>
        <w:t>his/her</w:t>
      </w:r>
      <w:r w:rsidR="00C9485E" w:rsidRPr="0041491C">
        <w:t xml:space="preserve">] </w:t>
      </w:r>
      <w:r w:rsidR="00092995" w:rsidRPr="00501A07">
        <w:rPr>
          <w:spacing w:val="-3"/>
        </w:rPr>
        <w:t>job was similar to the job of other persons who were not members of a protected class</w:t>
      </w:r>
      <w:r w:rsidR="00092995" w:rsidRPr="00501A07">
        <w:rPr>
          <w:rStyle w:val="FootnoteReference"/>
          <w:spacing w:val="-3"/>
        </w:rPr>
        <w:footnoteReference w:id="6"/>
      </w:r>
      <w:r w:rsidR="00092995" w:rsidRPr="00501A07">
        <w:rPr>
          <w:spacing w:val="-3"/>
        </w:rPr>
        <w:t>; and</w:t>
      </w:r>
    </w:p>
    <w:p w14:paraId="7B089E28" w14:textId="77777777" w:rsidR="00392C37" w:rsidRPr="00501A07" w:rsidRDefault="00392C37" w:rsidP="00501A07">
      <w:pPr>
        <w:tabs>
          <w:tab w:val="left" w:pos="-720"/>
          <w:tab w:val="left" w:pos="0"/>
          <w:tab w:val="left" w:pos="720"/>
          <w:tab w:val="left" w:pos="1440"/>
        </w:tabs>
        <w:ind w:left="2160" w:hanging="2160"/>
        <w:jc w:val="both"/>
        <w:rPr>
          <w:spacing w:val="-3"/>
        </w:rPr>
      </w:pPr>
    </w:p>
    <w:p w14:paraId="14A85860" w14:textId="77777777" w:rsidR="00092995" w:rsidRPr="00501A07" w:rsidRDefault="00392C37" w:rsidP="00501A07">
      <w:pPr>
        <w:tabs>
          <w:tab w:val="left" w:pos="-720"/>
          <w:tab w:val="left" w:pos="0"/>
          <w:tab w:val="left" w:pos="720"/>
          <w:tab w:val="left" w:pos="1440"/>
        </w:tabs>
        <w:ind w:left="2160" w:hanging="2160"/>
        <w:jc w:val="both"/>
        <w:rPr>
          <w:spacing w:val="-3"/>
        </w:rPr>
      </w:pPr>
      <w:r w:rsidRPr="00501A07">
        <w:rPr>
          <w:spacing w:val="-3"/>
        </w:rPr>
        <w:tab/>
      </w:r>
      <w:r w:rsidRPr="00501A07">
        <w:rPr>
          <w:spacing w:val="-3"/>
        </w:rPr>
        <w:tab/>
        <w:t>c</w:t>
      </w:r>
      <w:r w:rsidR="00092995" w:rsidRPr="00501A07">
        <w:rPr>
          <w:spacing w:val="-3"/>
        </w:rPr>
        <w:t>.</w:t>
      </w:r>
      <w:r w:rsidR="00092995" w:rsidRPr="00501A07">
        <w:rPr>
          <w:spacing w:val="-3"/>
        </w:rPr>
        <w:tab/>
      </w:r>
      <w:r w:rsidR="00C9485E" w:rsidRPr="0041491C">
        <w:t>[</w:t>
      </w:r>
      <w:r w:rsidR="00C9485E" w:rsidRPr="006976EB">
        <w:rPr>
          <w:i/>
        </w:rPr>
        <w:t>h</w:t>
      </w:r>
      <w:r w:rsidR="00C9485E">
        <w:rPr>
          <w:i/>
        </w:rPr>
        <w:t>e</w:t>
      </w:r>
      <w:r w:rsidR="00C9485E" w:rsidRPr="006976EB">
        <w:rPr>
          <w:i/>
        </w:rPr>
        <w:t>/</w:t>
      </w:r>
      <w:r w:rsidR="00C9485E">
        <w:rPr>
          <w:i/>
        </w:rPr>
        <w:t>s</w:t>
      </w:r>
      <w:r w:rsidR="00C9485E" w:rsidRPr="006976EB">
        <w:rPr>
          <w:i/>
        </w:rPr>
        <w:t>he</w:t>
      </w:r>
      <w:r w:rsidR="00C9485E" w:rsidRPr="0041491C">
        <w:t xml:space="preserve">] </w:t>
      </w:r>
      <w:r w:rsidR="00092995" w:rsidRPr="00501A07">
        <w:rPr>
          <w:spacing w:val="-3"/>
        </w:rPr>
        <w:t>received lower wages than the persons who were not members of a protected class.</w:t>
      </w:r>
    </w:p>
    <w:p w14:paraId="19530776" w14:textId="77777777" w:rsidR="00392C37" w:rsidRPr="00501A07" w:rsidRDefault="00392C37" w:rsidP="00501A07">
      <w:pPr>
        <w:tabs>
          <w:tab w:val="left" w:pos="-720"/>
          <w:tab w:val="left" w:pos="0"/>
          <w:tab w:val="left" w:pos="720"/>
          <w:tab w:val="left" w:pos="1440"/>
        </w:tabs>
        <w:ind w:left="2160" w:hanging="2160"/>
        <w:jc w:val="both"/>
        <w:rPr>
          <w:spacing w:val="-3"/>
        </w:rPr>
      </w:pPr>
    </w:p>
    <w:p w14:paraId="2151F044" w14:textId="77777777" w:rsidR="00092995" w:rsidRPr="00501A07" w:rsidRDefault="00092995" w:rsidP="00501A07">
      <w:pPr>
        <w:pStyle w:val="BodyTextIndent2"/>
        <w:spacing w:line="480" w:lineRule="auto"/>
        <w:ind w:left="0" w:firstLine="0"/>
      </w:pPr>
      <w:r w:rsidRPr="00501A07">
        <w:tab/>
        <w:t>It is plaintiff's burden to prove each of these three elements by a preponderance of the evidence.</w:t>
      </w:r>
      <w:bookmarkStart w:id="1" w:name="a2_22F"/>
      <w:bookmarkEnd w:id="1"/>
    </w:p>
    <w:sectPr w:rsidR="00092995" w:rsidRPr="00501A07" w:rsidSect="00777757">
      <w:headerReference w:type="default" r:id="rId8"/>
      <w:endnotePr>
        <w:numFmt w:val="decimal"/>
      </w:endnotePr>
      <w:type w:val="continuous"/>
      <w:pgSz w:w="12240" w:h="15840" w:code="1"/>
      <w:pgMar w:top="1008"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7B0E7" w14:textId="77777777" w:rsidR="007054FF" w:rsidRDefault="007054FF">
      <w:pPr>
        <w:widowControl/>
        <w:spacing w:line="20" w:lineRule="exact"/>
        <w:rPr>
          <w:sz w:val="20"/>
          <w:szCs w:val="24"/>
        </w:rPr>
      </w:pPr>
    </w:p>
  </w:endnote>
  <w:endnote w:type="continuationSeparator" w:id="0">
    <w:p w14:paraId="0D0CCEB1" w14:textId="77777777" w:rsidR="007054FF" w:rsidRDefault="007054FF">
      <w:r>
        <w:rPr>
          <w:sz w:val="20"/>
          <w:szCs w:val="24"/>
        </w:rPr>
        <w:t xml:space="preserve"> </w:t>
      </w:r>
    </w:p>
  </w:endnote>
  <w:endnote w:type="continuationNotice" w:id="1">
    <w:p w14:paraId="30297549" w14:textId="77777777" w:rsidR="007054FF" w:rsidRDefault="007054FF">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BD748" w14:textId="77777777" w:rsidR="007054FF" w:rsidRDefault="007054FF">
      <w:r>
        <w:rPr>
          <w:sz w:val="20"/>
          <w:szCs w:val="24"/>
        </w:rPr>
        <w:separator/>
      </w:r>
    </w:p>
  </w:footnote>
  <w:footnote w:type="continuationSeparator" w:id="0">
    <w:p w14:paraId="7500E3E3" w14:textId="77777777" w:rsidR="007054FF" w:rsidRDefault="007054FF">
      <w:r>
        <w:continuationSeparator/>
      </w:r>
    </w:p>
  </w:footnote>
  <w:footnote w:id="1">
    <w:p w14:paraId="6225A9E1" w14:textId="77777777" w:rsidR="003A1EB6" w:rsidRPr="003A1EB6" w:rsidRDefault="008963F7" w:rsidP="003A1EB6">
      <w:pPr>
        <w:jc w:val="both"/>
        <w:rPr>
          <w:sz w:val="24"/>
          <w:szCs w:val="24"/>
        </w:rPr>
      </w:pPr>
      <w:r w:rsidRPr="003A1EB6">
        <w:rPr>
          <w:rStyle w:val="FootnoteReference"/>
          <w:sz w:val="24"/>
          <w:szCs w:val="24"/>
        </w:rPr>
        <w:footnoteRef/>
      </w:r>
      <w:r w:rsidRPr="003A1EB6">
        <w:rPr>
          <w:sz w:val="24"/>
          <w:szCs w:val="24"/>
        </w:rPr>
        <w:t xml:space="preserve">  This charge was previously designated as 2.24.</w:t>
      </w:r>
      <w:r w:rsidR="001D5A94" w:rsidRPr="003A1EB6">
        <w:rPr>
          <w:sz w:val="24"/>
          <w:szCs w:val="24"/>
        </w:rPr>
        <w:t xml:space="preserve"> In 2018, t</w:t>
      </w:r>
      <w:r w:rsidR="001D5A94" w:rsidRPr="003A1EB6">
        <w:rPr>
          <w:sz w:val="24"/>
          <w:szCs w:val="24"/>
          <w:shd w:val="clear" w:color="auto" w:fill="FFFFFF"/>
        </w:rPr>
        <w:t>he New Jersey Legislature passed the </w:t>
      </w:r>
      <w:r w:rsidR="001D5A94" w:rsidRPr="003A1EB6">
        <w:rPr>
          <w:bCs/>
          <w:sz w:val="24"/>
          <w:szCs w:val="24"/>
          <w:shd w:val="clear" w:color="auto" w:fill="FFFFFF"/>
        </w:rPr>
        <w:t>Diane B</w:t>
      </w:r>
      <w:r w:rsidR="001D5A94" w:rsidRPr="003A1EB6">
        <w:rPr>
          <w:sz w:val="24"/>
          <w:szCs w:val="24"/>
          <w:shd w:val="clear" w:color="auto" w:fill="FFFFFF"/>
        </w:rPr>
        <w:t>. </w:t>
      </w:r>
      <w:r w:rsidR="001D5A94" w:rsidRPr="003A1EB6">
        <w:rPr>
          <w:bCs/>
          <w:sz w:val="24"/>
          <w:szCs w:val="24"/>
          <w:shd w:val="clear" w:color="auto" w:fill="FFFFFF"/>
        </w:rPr>
        <w:t>Allen Equal Pay Act</w:t>
      </w:r>
      <w:r w:rsidR="001D5A94" w:rsidRPr="003A1EB6">
        <w:rPr>
          <w:sz w:val="24"/>
          <w:szCs w:val="24"/>
          <w:shd w:val="clear" w:color="auto" w:fill="FFFFFF"/>
        </w:rPr>
        <w:t> (</w:t>
      </w:r>
      <w:r w:rsidR="003A1EB6" w:rsidRPr="003A1EB6">
        <w:rPr>
          <w:spacing w:val="-3"/>
          <w:sz w:val="24"/>
          <w:szCs w:val="24"/>
        </w:rPr>
        <w:t>“NJEPA”</w:t>
      </w:r>
      <w:r w:rsidR="001D5A94" w:rsidRPr="003A1EB6">
        <w:rPr>
          <w:sz w:val="24"/>
          <w:szCs w:val="24"/>
          <w:shd w:val="clear" w:color="auto" w:fill="FFFFFF"/>
        </w:rPr>
        <w:t>), which amends the New Jersey Law Against Discrimination by furthering and broadening the prohibition against pay discrimination because, or on the basis, of an employee’s inclusion in any protected class and is not limited to gender. </w:t>
      </w:r>
      <w:r w:rsidR="003A1EB6" w:rsidRPr="003A1EB6">
        <w:rPr>
          <w:sz w:val="24"/>
          <w:szCs w:val="24"/>
          <w:shd w:val="clear" w:color="auto" w:fill="FFFFFF"/>
        </w:rPr>
        <w:t xml:space="preserve">A new charge, Model Civil Jury Charge 2.24A, was created in light of the NJEPA. </w:t>
      </w:r>
      <w:r w:rsidR="003A1EB6">
        <w:rPr>
          <w:sz w:val="24"/>
          <w:szCs w:val="24"/>
          <w:shd w:val="clear" w:color="auto" w:fill="FFFFFF"/>
        </w:rPr>
        <w:t xml:space="preserve">In light of the new legislation, it was expected that </w:t>
      </w:r>
      <w:r w:rsidR="003A1EB6">
        <w:rPr>
          <w:sz w:val="24"/>
          <w:szCs w:val="24"/>
        </w:rPr>
        <w:t xml:space="preserve">this </w:t>
      </w:r>
      <w:r w:rsidR="003A1EB6" w:rsidRPr="003A1EB6">
        <w:rPr>
          <w:sz w:val="24"/>
          <w:szCs w:val="24"/>
        </w:rPr>
        <w:t xml:space="preserve">charge </w:t>
      </w:r>
      <w:r w:rsidR="003A1EB6">
        <w:rPr>
          <w:sz w:val="24"/>
          <w:szCs w:val="24"/>
        </w:rPr>
        <w:t xml:space="preserve">would </w:t>
      </w:r>
      <w:r w:rsidR="003A1EB6" w:rsidRPr="003A1EB6">
        <w:rPr>
          <w:sz w:val="24"/>
          <w:szCs w:val="24"/>
        </w:rPr>
        <w:t xml:space="preserve">have limited application going forward and was therefore </w:t>
      </w:r>
      <w:proofErr w:type="spellStart"/>
      <w:r w:rsidR="003A1EB6" w:rsidRPr="003A1EB6">
        <w:rPr>
          <w:sz w:val="24"/>
          <w:szCs w:val="24"/>
        </w:rPr>
        <w:t>redesignated</w:t>
      </w:r>
      <w:proofErr w:type="spellEnd"/>
      <w:r w:rsidR="003A1EB6" w:rsidRPr="003A1EB6">
        <w:rPr>
          <w:sz w:val="24"/>
          <w:szCs w:val="24"/>
        </w:rPr>
        <w:t xml:space="preserve"> as 2.24B.</w:t>
      </w:r>
    </w:p>
    <w:p w14:paraId="59F303B0" w14:textId="77777777" w:rsidR="001D5A94" w:rsidRPr="001D5A94" w:rsidRDefault="001D5A94" w:rsidP="001D5A94">
      <w:pPr>
        <w:pStyle w:val="FootnoteText"/>
        <w:jc w:val="both"/>
        <w:rPr>
          <w:sz w:val="24"/>
        </w:rPr>
      </w:pPr>
    </w:p>
  </w:footnote>
  <w:footnote w:id="2">
    <w:p w14:paraId="5AE166CE" w14:textId="08C636A2" w:rsidR="004C0276" w:rsidRDefault="004C0276" w:rsidP="001D5A94">
      <w:pPr>
        <w:pStyle w:val="FootnoteText"/>
        <w:tabs>
          <w:tab w:val="left" w:pos="-720"/>
        </w:tabs>
        <w:spacing w:after="240" w:line="240" w:lineRule="atLeast"/>
        <w:jc w:val="both"/>
        <w:rPr>
          <w:spacing w:val="-2"/>
          <w:sz w:val="24"/>
          <w:szCs w:val="22"/>
        </w:rPr>
      </w:pPr>
      <w:r w:rsidRPr="001D5A94">
        <w:rPr>
          <w:rStyle w:val="FootnoteReference"/>
          <w:spacing w:val="-2"/>
          <w:sz w:val="24"/>
        </w:rPr>
        <w:footnoteRef/>
      </w:r>
      <w:r w:rsidR="00D44AC5" w:rsidRPr="001D5A94">
        <w:rPr>
          <w:spacing w:val="-2"/>
          <w:sz w:val="24"/>
        </w:rPr>
        <w:t xml:space="preserve">  </w:t>
      </w:r>
      <w:r w:rsidRPr="001D5A94">
        <w:rPr>
          <w:spacing w:val="-2"/>
          <w:sz w:val="24"/>
        </w:rPr>
        <w:t xml:space="preserve">Note that the </w:t>
      </w:r>
      <w:r w:rsidR="00B743F1">
        <w:rPr>
          <w:spacing w:val="-2"/>
          <w:sz w:val="24"/>
        </w:rPr>
        <w:t xml:space="preserve">Federal </w:t>
      </w:r>
      <w:r w:rsidRPr="001D5A94">
        <w:rPr>
          <w:spacing w:val="-2"/>
          <w:sz w:val="24"/>
        </w:rPr>
        <w:t xml:space="preserve">EPA applies only to wage disparity as between the sexes.  </w:t>
      </w:r>
      <w:r w:rsidRPr="001D5A94">
        <w:rPr>
          <w:i/>
          <w:spacing w:val="-2"/>
          <w:sz w:val="24"/>
        </w:rPr>
        <w:t>See</w:t>
      </w:r>
      <w:r w:rsidRPr="001D5A94">
        <w:rPr>
          <w:spacing w:val="-2"/>
          <w:sz w:val="24"/>
        </w:rPr>
        <w:t xml:space="preserve"> </w:t>
      </w:r>
      <w:proofErr w:type="spellStart"/>
      <w:r w:rsidRPr="001D5A94">
        <w:rPr>
          <w:i/>
          <w:iCs/>
          <w:spacing w:val="-2"/>
          <w:sz w:val="24"/>
        </w:rPr>
        <w:t>Grigoletti</w:t>
      </w:r>
      <w:proofErr w:type="spellEnd"/>
      <w:r w:rsidRPr="001D5A94">
        <w:rPr>
          <w:i/>
          <w:iCs/>
          <w:spacing w:val="-2"/>
          <w:sz w:val="24"/>
        </w:rPr>
        <w:t xml:space="preserve"> v. Ortho Pharmaceutical Corp.</w:t>
      </w:r>
      <w:r w:rsidRPr="001D5A94">
        <w:rPr>
          <w:spacing w:val="-2"/>
          <w:sz w:val="24"/>
        </w:rPr>
        <w:t xml:space="preserve">, 118 </w:t>
      </w:r>
      <w:r w:rsidRPr="001D5A94">
        <w:rPr>
          <w:i/>
          <w:iCs/>
          <w:spacing w:val="-2"/>
          <w:sz w:val="24"/>
        </w:rPr>
        <w:t>N.J.</w:t>
      </w:r>
      <w:r w:rsidRPr="001D5A94">
        <w:rPr>
          <w:spacing w:val="-2"/>
          <w:sz w:val="24"/>
        </w:rPr>
        <w:t xml:space="preserve"> 89, 100 (1990).</w:t>
      </w:r>
    </w:p>
  </w:footnote>
  <w:footnote w:id="3">
    <w:p w14:paraId="55586319" w14:textId="77777777" w:rsidR="004C0276" w:rsidRDefault="004C0276">
      <w:pPr>
        <w:pStyle w:val="FootnoteText"/>
        <w:tabs>
          <w:tab w:val="left" w:pos="-720"/>
        </w:tabs>
        <w:spacing w:after="240" w:line="240" w:lineRule="atLeast"/>
        <w:jc w:val="both"/>
        <w:rPr>
          <w:spacing w:val="-2"/>
          <w:sz w:val="24"/>
          <w:szCs w:val="22"/>
        </w:rPr>
      </w:pPr>
      <w:r>
        <w:rPr>
          <w:rStyle w:val="FootnoteReference"/>
          <w:spacing w:val="-2"/>
          <w:sz w:val="24"/>
          <w:szCs w:val="22"/>
        </w:rPr>
        <w:footnoteRef/>
      </w:r>
      <w:r w:rsidR="00501A07">
        <w:rPr>
          <w:rStyle w:val="FootnoteReference"/>
          <w:spacing w:val="-2"/>
          <w:sz w:val="24"/>
          <w:szCs w:val="22"/>
          <w:vertAlign w:val="baseline"/>
        </w:rPr>
        <w:t xml:space="preserve">  </w:t>
      </w:r>
      <w:r w:rsidRPr="003126D7">
        <w:rPr>
          <w:i/>
          <w:spacing w:val="-2"/>
          <w:sz w:val="24"/>
          <w:szCs w:val="22"/>
        </w:rPr>
        <w:t>See</w:t>
      </w:r>
      <w:r>
        <w:rPr>
          <w:spacing w:val="-2"/>
          <w:sz w:val="24"/>
          <w:szCs w:val="22"/>
        </w:rPr>
        <w:t xml:space="preserve"> </w:t>
      </w:r>
      <w:proofErr w:type="spellStart"/>
      <w:r>
        <w:rPr>
          <w:i/>
          <w:iCs/>
          <w:spacing w:val="-2"/>
          <w:sz w:val="24"/>
          <w:szCs w:val="22"/>
        </w:rPr>
        <w:t>Brobst</w:t>
      </w:r>
      <w:proofErr w:type="spellEnd"/>
      <w:r>
        <w:rPr>
          <w:i/>
          <w:iCs/>
          <w:spacing w:val="-2"/>
          <w:sz w:val="24"/>
          <w:szCs w:val="22"/>
        </w:rPr>
        <w:t xml:space="preserve"> v. Columbus Services International</w:t>
      </w:r>
      <w:r>
        <w:rPr>
          <w:spacing w:val="-2"/>
          <w:sz w:val="24"/>
          <w:szCs w:val="22"/>
        </w:rPr>
        <w:t xml:space="preserve">, 824 </w:t>
      </w:r>
      <w:r w:rsidRPr="003126D7">
        <w:rPr>
          <w:i/>
          <w:spacing w:val="-2"/>
          <w:sz w:val="24"/>
          <w:szCs w:val="22"/>
        </w:rPr>
        <w:t>F</w:t>
      </w:r>
      <w:r>
        <w:rPr>
          <w:spacing w:val="-2"/>
          <w:sz w:val="24"/>
          <w:szCs w:val="22"/>
        </w:rPr>
        <w:t xml:space="preserve">. 2d 271, 174 (3d Cir. 1987), citing </w:t>
      </w:r>
      <w:r>
        <w:rPr>
          <w:i/>
          <w:iCs/>
          <w:spacing w:val="-2"/>
          <w:sz w:val="24"/>
          <w:szCs w:val="22"/>
        </w:rPr>
        <w:t>Corning Glass Works v. Brennan</w:t>
      </w:r>
      <w:r>
        <w:rPr>
          <w:spacing w:val="-2"/>
          <w:sz w:val="24"/>
          <w:szCs w:val="22"/>
        </w:rPr>
        <w:t xml:space="preserve">, 417 </w:t>
      </w:r>
      <w:r w:rsidRPr="003126D7">
        <w:rPr>
          <w:i/>
          <w:spacing w:val="-2"/>
          <w:sz w:val="24"/>
          <w:szCs w:val="22"/>
        </w:rPr>
        <w:t>U.S</w:t>
      </w:r>
      <w:r>
        <w:rPr>
          <w:spacing w:val="-2"/>
          <w:sz w:val="24"/>
          <w:szCs w:val="22"/>
        </w:rPr>
        <w:t>. 188, 195 (1974), citing 29 U.S.</w:t>
      </w:r>
      <w:r w:rsidR="00804D39">
        <w:rPr>
          <w:spacing w:val="-2"/>
          <w:sz w:val="24"/>
          <w:szCs w:val="22"/>
        </w:rPr>
        <w:t>C</w:t>
      </w:r>
      <w:r>
        <w:rPr>
          <w:spacing w:val="-2"/>
          <w:sz w:val="24"/>
          <w:szCs w:val="22"/>
        </w:rPr>
        <w:t>. §206(d)(1).</w:t>
      </w:r>
    </w:p>
  </w:footnote>
  <w:footnote w:id="4">
    <w:p w14:paraId="3ADEA8A6" w14:textId="77777777" w:rsidR="004C0276" w:rsidRDefault="004C0276">
      <w:pPr>
        <w:pStyle w:val="FootnoteText"/>
        <w:tabs>
          <w:tab w:val="left" w:pos="-720"/>
        </w:tabs>
        <w:spacing w:after="240" w:line="240" w:lineRule="atLeast"/>
        <w:jc w:val="both"/>
        <w:rPr>
          <w:spacing w:val="-2"/>
          <w:sz w:val="24"/>
          <w:szCs w:val="22"/>
        </w:rPr>
      </w:pPr>
      <w:r>
        <w:rPr>
          <w:rStyle w:val="FootnoteReference"/>
          <w:spacing w:val="-2"/>
          <w:sz w:val="24"/>
          <w:szCs w:val="22"/>
        </w:rPr>
        <w:footnoteRef/>
      </w:r>
      <w:r w:rsidR="00CF19C9">
        <w:rPr>
          <w:spacing w:val="-2"/>
          <w:sz w:val="24"/>
          <w:szCs w:val="22"/>
        </w:rPr>
        <w:t xml:space="preserve">  </w:t>
      </w:r>
      <w:r>
        <w:rPr>
          <w:spacing w:val="-2"/>
          <w:sz w:val="24"/>
          <w:szCs w:val="22"/>
        </w:rPr>
        <w:t xml:space="preserve">The </w:t>
      </w:r>
      <w:r>
        <w:rPr>
          <w:i/>
          <w:iCs/>
          <w:spacing w:val="-2"/>
          <w:sz w:val="24"/>
          <w:szCs w:val="22"/>
        </w:rPr>
        <w:t>McDonnell-Douglas</w:t>
      </w:r>
      <w:r>
        <w:rPr>
          <w:spacing w:val="-2"/>
          <w:sz w:val="24"/>
          <w:szCs w:val="22"/>
        </w:rPr>
        <w:t xml:space="preserve"> methodology is not utilized in a</w:t>
      </w:r>
      <w:r w:rsidR="00804D39">
        <w:rPr>
          <w:spacing w:val="-2"/>
          <w:sz w:val="24"/>
          <w:szCs w:val="22"/>
        </w:rPr>
        <w:t xml:space="preserve"> Federal</w:t>
      </w:r>
      <w:r>
        <w:rPr>
          <w:spacing w:val="-2"/>
          <w:sz w:val="24"/>
          <w:szCs w:val="22"/>
        </w:rPr>
        <w:t xml:space="preserve"> EPA claim or in an NJLAD claim based on substantially equal jobs.  </w:t>
      </w:r>
      <w:r w:rsidRPr="003126D7">
        <w:rPr>
          <w:i/>
          <w:spacing w:val="-2"/>
          <w:sz w:val="24"/>
          <w:szCs w:val="22"/>
        </w:rPr>
        <w:t>See</w:t>
      </w:r>
      <w:r>
        <w:rPr>
          <w:spacing w:val="-2"/>
          <w:sz w:val="24"/>
          <w:szCs w:val="22"/>
        </w:rPr>
        <w:t xml:space="preserve"> </w:t>
      </w:r>
      <w:proofErr w:type="spellStart"/>
      <w:r>
        <w:rPr>
          <w:i/>
          <w:iCs/>
          <w:spacing w:val="-2"/>
          <w:sz w:val="24"/>
          <w:szCs w:val="22"/>
        </w:rPr>
        <w:t>Grigoletti</w:t>
      </w:r>
      <w:proofErr w:type="spellEnd"/>
      <w:r>
        <w:rPr>
          <w:spacing w:val="-2"/>
          <w:sz w:val="24"/>
          <w:szCs w:val="22"/>
        </w:rPr>
        <w:t xml:space="preserve"> at 100-110.</w:t>
      </w:r>
    </w:p>
  </w:footnote>
  <w:footnote w:id="5">
    <w:p w14:paraId="0AF8B7BB" w14:textId="77777777" w:rsidR="004C0276" w:rsidRDefault="004C0276">
      <w:pPr>
        <w:pStyle w:val="FootnoteText"/>
        <w:tabs>
          <w:tab w:val="left" w:pos="-720"/>
        </w:tabs>
        <w:spacing w:after="240" w:line="240" w:lineRule="atLeast"/>
        <w:jc w:val="both"/>
        <w:rPr>
          <w:spacing w:val="-2"/>
          <w:sz w:val="24"/>
          <w:szCs w:val="22"/>
        </w:rPr>
      </w:pPr>
      <w:r>
        <w:rPr>
          <w:rStyle w:val="FootnoteReference"/>
          <w:spacing w:val="-2"/>
          <w:sz w:val="24"/>
          <w:szCs w:val="22"/>
        </w:rPr>
        <w:footnoteRef/>
      </w:r>
      <w:r w:rsidR="00CF19C9">
        <w:rPr>
          <w:spacing w:val="-2"/>
          <w:sz w:val="24"/>
          <w:szCs w:val="22"/>
        </w:rPr>
        <w:t xml:space="preserve">  </w:t>
      </w:r>
      <w:r>
        <w:rPr>
          <w:spacing w:val="-2"/>
          <w:sz w:val="24"/>
          <w:szCs w:val="22"/>
        </w:rPr>
        <w:t xml:space="preserve">For a discussion of the differences between the proofs required in a Title VII (and by implication, on NJLAD) based wage disparity claim and those required in a </w:t>
      </w:r>
      <w:r w:rsidR="00804D39">
        <w:rPr>
          <w:spacing w:val="-2"/>
          <w:sz w:val="24"/>
          <w:szCs w:val="22"/>
        </w:rPr>
        <w:t xml:space="preserve">Federal EPA </w:t>
      </w:r>
      <w:r>
        <w:rPr>
          <w:spacing w:val="-2"/>
          <w:sz w:val="24"/>
          <w:szCs w:val="22"/>
        </w:rPr>
        <w:t xml:space="preserve">Claim, </w:t>
      </w:r>
      <w:r w:rsidRPr="003126D7">
        <w:rPr>
          <w:i/>
          <w:spacing w:val="-2"/>
          <w:sz w:val="24"/>
          <w:szCs w:val="22"/>
        </w:rPr>
        <w:t xml:space="preserve">see </w:t>
      </w:r>
      <w:proofErr w:type="spellStart"/>
      <w:r>
        <w:rPr>
          <w:i/>
          <w:iCs/>
          <w:spacing w:val="-2"/>
          <w:sz w:val="24"/>
          <w:szCs w:val="22"/>
        </w:rPr>
        <w:t>Grigoletti</w:t>
      </w:r>
      <w:proofErr w:type="spellEnd"/>
      <w:r>
        <w:rPr>
          <w:i/>
          <w:iCs/>
          <w:spacing w:val="-2"/>
          <w:sz w:val="24"/>
          <w:szCs w:val="22"/>
        </w:rPr>
        <w:t xml:space="preserve"> v. Ortho Pharmaceutical Corp.</w:t>
      </w:r>
      <w:r>
        <w:rPr>
          <w:spacing w:val="-2"/>
          <w:sz w:val="24"/>
          <w:szCs w:val="22"/>
        </w:rPr>
        <w:t xml:space="preserve">, 118 </w:t>
      </w:r>
      <w:r w:rsidRPr="003126D7">
        <w:rPr>
          <w:i/>
          <w:spacing w:val="-2"/>
          <w:sz w:val="24"/>
          <w:szCs w:val="22"/>
        </w:rPr>
        <w:t>N.J.</w:t>
      </w:r>
      <w:r>
        <w:rPr>
          <w:spacing w:val="-2"/>
          <w:sz w:val="24"/>
          <w:szCs w:val="22"/>
        </w:rPr>
        <w:t xml:space="preserve"> 89, 100-110 (1990).</w:t>
      </w:r>
    </w:p>
  </w:footnote>
  <w:footnote w:id="6">
    <w:p w14:paraId="02AD4918" w14:textId="77777777" w:rsidR="004C0276" w:rsidRDefault="004C0276">
      <w:pPr>
        <w:pStyle w:val="FootnoteText"/>
        <w:tabs>
          <w:tab w:val="left" w:pos="-720"/>
        </w:tabs>
        <w:spacing w:after="240" w:line="240" w:lineRule="atLeast"/>
        <w:jc w:val="both"/>
        <w:rPr>
          <w:spacing w:val="-2"/>
          <w:sz w:val="24"/>
          <w:szCs w:val="22"/>
        </w:rPr>
      </w:pPr>
      <w:r>
        <w:rPr>
          <w:rStyle w:val="FootnoteReference"/>
          <w:spacing w:val="-2"/>
          <w:sz w:val="24"/>
          <w:szCs w:val="22"/>
        </w:rPr>
        <w:footnoteRef/>
      </w:r>
      <w:r w:rsidR="00CF19C9">
        <w:rPr>
          <w:spacing w:val="-2"/>
          <w:sz w:val="24"/>
          <w:szCs w:val="22"/>
        </w:rPr>
        <w:t xml:space="preserve">  </w:t>
      </w:r>
      <w:r>
        <w:rPr>
          <w:spacing w:val="-2"/>
          <w:sz w:val="24"/>
          <w:szCs w:val="22"/>
        </w:rPr>
        <w:t xml:space="preserve">This charge applies to claims of "similar jobs"; the charge relating to the </w:t>
      </w:r>
      <w:r w:rsidR="00EB1771">
        <w:rPr>
          <w:spacing w:val="-2"/>
          <w:sz w:val="24"/>
          <w:szCs w:val="22"/>
        </w:rPr>
        <w:t xml:space="preserve">Federal </w:t>
      </w:r>
      <w:r>
        <w:rPr>
          <w:spacing w:val="-2"/>
          <w:sz w:val="24"/>
          <w:szCs w:val="22"/>
        </w:rPr>
        <w:t>EPA applies to claims of "substantially equal" jobs.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1520" w14:textId="1B05E007" w:rsidR="004C0276" w:rsidRDefault="004C0276">
    <w:pPr>
      <w:tabs>
        <w:tab w:val="right" w:pos="9360"/>
      </w:tabs>
      <w:spacing w:line="240" w:lineRule="atLeast"/>
      <w:jc w:val="both"/>
      <w:rPr>
        <w:b/>
        <w:bCs/>
        <w:spacing w:val="-3"/>
      </w:rPr>
    </w:pPr>
    <w:r>
      <w:rPr>
        <w:spacing w:val="-3"/>
      </w:rPr>
      <w:tab/>
    </w:r>
    <w:r w:rsidR="00ED6CD5">
      <w:rPr>
        <w:b/>
        <w:bCs/>
        <w:spacing w:val="-3"/>
      </w:rPr>
      <w:t>CHARGE 2.24</w:t>
    </w:r>
    <w:r w:rsidR="007D56F0">
      <w:rPr>
        <w:b/>
        <w:bCs/>
        <w:spacing w:val="-3"/>
      </w:rPr>
      <w:t>B</w:t>
    </w:r>
    <w:r>
      <w:rPr>
        <w:b/>
        <w:bCs/>
        <w:spacing w:val="-3"/>
      </w:rPr>
      <w:t xml:space="preserve"> — Page </w:t>
    </w:r>
    <w:r>
      <w:rPr>
        <w:b/>
        <w:bCs/>
        <w:spacing w:val="-3"/>
      </w:rPr>
      <w:fldChar w:fldCharType="begin"/>
    </w:r>
    <w:r>
      <w:rPr>
        <w:b/>
        <w:bCs/>
        <w:spacing w:val="-3"/>
      </w:rPr>
      <w:instrText xml:space="preserve"> PAGE </w:instrText>
    </w:r>
    <w:r>
      <w:rPr>
        <w:b/>
        <w:bCs/>
        <w:spacing w:val="-3"/>
      </w:rPr>
      <w:fldChar w:fldCharType="separate"/>
    </w:r>
    <w:r w:rsidR="00585B2A">
      <w:rPr>
        <w:b/>
        <w:bCs/>
        <w:noProof/>
        <w:spacing w:val="-3"/>
      </w:rPr>
      <w:t>2</w:t>
    </w:r>
    <w:r>
      <w:rPr>
        <w:b/>
        <w:bCs/>
        <w:spacing w:val="-3"/>
      </w:rPr>
      <w:fldChar w:fldCharType="end"/>
    </w:r>
    <w:r>
      <w:rPr>
        <w:b/>
        <w:bCs/>
        <w:spacing w:val="-3"/>
      </w:rPr>
      <w:t xml:space="preserve"> of </w:t>
    </w:r>
    <w:r>
      <w:rPr>
        <w:b/>
        <w:bCs/>
        <w:spacing w:val="-3"/>
      </w:rPr>
      <w:fldChar w:fldCharType="begin"/>
    </w:r>
    <w:r>
      <w:rPr>
        <w:b/>
        <w:bCs/>
        <w:spacing w:val="-3"/>
      </w:rPr>
      <w:instrText xml:space="preserve"> NUMPAGES </w:instrText>
    </w:r>
    <w:r>
      <w:rPr>
        <w:b/>
        <w:bCs/>
        <w:spacing w:val="-3"/>
      </w:rPr>
      <w:fldChar w:fldCharType="separate"/>
    </w:r>
    <w:r w:rsidR="00585B2A">
      <w:rPr>
        <w:b/>
        <w:bCs/>
        <w:noProof/>
        <w:spacing w:val="-3"/>
      </w:rPr>
      <w:t>3</w:t>
    </w:r>
    <w:r>
      <w:rPr>
        <w:b/>
        <w:bCs/>
        <w:spacing w:val="-3"/>
      </w:rPr>
      <w:fldChar w:fldCharType="end"/>
    </w:r>
  </w:p>
  <w:p w14:paraId="2E4730F6" w14:textId="77777777" w:rsidR="00777757" w:rsidRDefault="00777757">
    <w:pPr>
      <w:tabs>
        <w:tab w:val="right" w:pos="9360"/>
      </w:tabs>
      <w:spacing w:line="240" w:lineRule="atLeast"/>
      <w:jc w:val="both"/>
      <w:rPr>
        <w:b/>
        <w:bCs/>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51DA"/>
    <w:multiLevelType w:val="hybridMultilevel"/>
    <w:tmpl w:val="F98400DC"/>
    <w:lvl w:ilvl="0" w:tplc="779874E6">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FB5A75"/>
    <w:multiLevelType w:val="hybridMultilevel"/>
    <w:tmpl w:val="07744936"/>
    <w:lvl w:ilvl="0" w:tplc="8CAE89C6">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51323DB1"/>
    <w:multiLevelType w:val="hybridMultilevel"/>
    <w:tmpl w:val="EED2AEE2"/>
    <w:lvl w:ilvl="0" w:tplc="1944AC14">
      <w:start w:val="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4B0AB1"/>
    <w:multiLevelType w:val="hybridMultilevel"/>
    <w:tmpl w:val="7188D842"/>
    <w:lvl w:ilvl="0" w:tplc="6080AD5E">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59BF318F"/>
    <w:multiLevelType w:val="hybridMultilevel"/>
    <w:tmpl w:val="3E20A1D0"/>
    <w:lvl w:ilvl="0" w:tplc="D9E4896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C116ACE"/>
    <w:multiLevelType w:val="hybridMultilevel"/>
    <w:tmpl w:val="06C03DB4"/>
    <w:lvl w:ilvl="0" w:tplc="0CB4C84E">
      <w:start w:val="5"/>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A1"/>
    <w:rsid w:val="000069A5"/>
    <w:rsid w:val="00010C0C"/>
    <w:rsid w:val="00022182"/>
    <w:rsid w:val="000666DE"/>
    <w:rsid w:val="00092995"/>
    <w:rsid w:val="000B79C5"/>
    <w:rsid w:val="000C4D02"/>
    <w:rsid w:val="000D0FF6"/>
    <w:rsid w:val="00144D70"/>
    <w:rsid w:val="00183701"/>
    <w:rsid w:val="001D5A94"/>
    <w:rsid w:val="0023391B"/>
    <w:rsid w:val="00251BE8"/>
    <w:rsid w:val="002B6F72"/>
    <w:rsid w:val="00304488"/>
    <w:rsid w:val="0030461A"/>
    <w:rsid w:val="00307509"/>
    <w:rsid w:val="003126D7"/>
    <w:rsid w:val="00340398"/>
    <w:rsid w:val="00345C8E"/>
    <w:rsid w:val="00392C37"/>
    <w:rsid w:val="003A1EB6"/>
    <w:rsid w:val="003C40D1"/>
    <w:rsid w:val="004C0276"/>
    <w:rsid w:val="004D729E"/>
    <w:rsid w:val="00501A07"/>
    <w:rsid w:val="0057533A"/>
    <w:rsid w:val="00585B2A"/>
    <w:rsid w:val="00601C4A"/>
    <w:rsid w:val="0061361B"/>
    <w:rsid w:val="006161D9"/>
    <w:rsid w:val="00655E54"/>
    <w:rsid w:val="00685033"/>
    <w:rsid w:val="006B59B4"/>
    <w:rsid w:val="006E41C4"/>
    <w:rsid w:val="007054FF"/>
    <w:rsid w:val="00745ECB"/>
    <w:rsid w:val="00750406"/>
    <w:rsid w:val="007559BC"/>
    <w:rsid w:val="00777757"/>
    <w:rsid w:val="007A6230"/>
    <w:rsid w:val="007D56F0"/>
    <w:rsid w:val="007D58FE"/>
    <w:rsid w:val="007F56B0"/>
    <w:rsid w:val="00804D39"/>
    <w:rsid w:val="008963F7"/>
    <w:rsid w:val="008E56BE"/>
    <w:rsid w:val="008F30E1"/>
    <w:rsid w:val="00902DAF"/>
    <w:rsid w:val="00953051"/>
    <w:rsid w:val="00994218"/>
    <w:rsid w:val="009E7F3F"/>
    <w:rsid w:val="00A35E23"/>
    <w:rsid w:val="00AA6724"/>
    <w:rsid w:val="00AE1003"/>
    <w:rsid w:val="00B46C7B"/>
    <w:rsid w:val="00B743F1"/>
    <w:rsid w:val="00BC2633"/>
    <w:rsid w:val="00BC2636"/>
    <w:rsid w:val="00C46271"/>
    <w:rsid w:val="00C9485E"/>
    <w:rsid w:val="00CA7B5E"/>
    <w:rsid w:val="00CF19C9"/>
    <w:rsid w:val="00D04F25"/>
    <w:rsid w:val="00D44AC5"/>
    <w:rsid w:val="00D808E8"/>
    <w:rsid w:val="00D852BF"/>
    <w:rsid w:val="00E045CF"/>
    <w:rsid w:val="00E323E2"/>
    <w:rsid w:val="00E57D77"/>
    <w:rsid w:val="00E95E18"/>
    <w:rsid w:val="00EB1771"/>
    <w:rsid w:val="00EC3C68"/>
    <w:rsid w:val="00ED23F0"/>
    <w:rsid w:val="00ED5B26"/>
    <w:rsid w:val="00ED6CD5"/>
    <w:rsid w:val="00EF06EC"/>
    <w:rsid w:val="00F34315"/>
    <w:rsid w:val="00F56F2C"/>
    <w:rsid w:val="00F64BF7"/>
    <w:rsid w:val="00F701F2"/>
    <w:rsid w:val="00FA57A1"/>
    <w:rsid w:val="00FC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FD50B"/>
  <w15:chartTrackingRefBased/>
  <w15:docId w15:val="{2778A412-EE5A-4F68-95D5-EA5A9F17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s>
      <w:spacing w:after="240" w:line="240" w:lineRule="atLeast"/>
      <w:ind w:left="1440" w:hanging="1440"/>
      <w:jc w:val="both"/>
    </w:pPr>
    <w:rPr>
      <w:b/>
      <w:bCs/>
      <w:spacing w:val="-3"/>
    </w:rPr>
  </w:style>
  <w:style w:type="paragraph" w:styleId="BodyTextIndent2">
    <w:name w:val="Body Text Indent 2"/>
    <w:basedOn w:val="Normal"/>
    <w:pPr>
      <w:tabs>
        <w:tab w:val="left" w:pos="-720"/>
        <w:tab w:val="left" w:pos="0"/>
        <w:tab w:val="left" w:pos="720"/>
      </w:tabs>
      <w:ind w:left="2160" w:hanging="2160"/>
      <w:jc w:val="both"/>
    </w:pPr>
    <w:rPr>
      <w:spacing w:val="-3"/>
    </w:rPr>
  </w:style>
  <w:style w:type="paragraph" w:styleId="BalloonText">
    <w:name w:val="Balloon Text"/>
    <w:basedOn w:val="Normal"/>
    <w:semiHidden/>
    <w:rsid w:val="00FA57A1"/>
    <w:rPr>
      <w:rFonts w:ascii="Tahoma" w:hAnsi="Tahoma" w:cs="Tahoma"/>
      <w:sz w:val="16"/>
      <w:szCs w:val="16"/>
    </w:rPr>
  </w:style>
  <w:style w:type="paragraph" w:styleId="BodyText">
    <w:name w:val="Body Text"/>
    <w:basedOn w:val="Normal"/>
    <w:rsid w:val="00092995"/>
    <w:pPr>
      <w:tabs>
        <w:tab w:val="left" w:pos="-720"/>
      </w:tabs>
      <w:spacing w:line="480" w:lineRule="atLeast"/>
      <w:jc w:val="both"/>
    </w:pPr>
    <w:rPr>
      <w:spacing w:val="-3"/>
    </w:rPr>
  </w:style>
  <w:style w:type="paragraph" w:styleId="ListParagraph">
    <w:name w:val="List Paragraph"/>
    <w:basedOn w:val="Normal"/>
    <w:uiPriority w:val="34"/>
    <w:qFormat/>
    <w:rsid w:val="00501A07"/>
    <w:pPr>
      <w:ind w:left="720"/>
    </w:pPr>
  </w:style>
  <w:style w:type="paragraph" w:styleId="CommentSubject">
    <w:name w:val="annotation subject"/>
    <w:basedOn w:val="CommentText"/>
    <w:next w:val="CommentText"/>
    <w:link w:val="CommentSubjectChar"/>
    <w:rsid w:val="0057533A"/>
    <w:rPr>
      <w:b/>
      <w:bCs/>
    </w:rPr>
  </w:style>
  <w:style w:type="character" w:customStyle="1" w:styleId="CommentTextChar">
    <w:name w:val="Comment Text Char"/>
    <w:basedOn w:val="DefaultParagraphFont"/>
    <w:link w:val="CommentText"/>
    <w:semiHidden/>
    <w:rsid w:val="0057533A"/>
  </w:style>
  <w:style w:type="character" w:customStyle="1" w:styleId="CommentSubjectChar">
    <w:name w:val="Comment Subject Char"/>
    <w:link w:val="CommentSubject"/>
    <w:rsid w:val="00575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C1BD-7CCE-4C8E-AA0E-65C3DD2D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2223</Characters>
  <Application>Microsoft Office Word</Application>
  <DocSecurity>4</DocSecurity>
  <PresentationFormat>11|.DOC</PresentationFormat>
  <Lines>18</Lines>
  <Paragraphs>5</Paragraphs>
  <ScaleCrop>false</ScaleCrop>
  <HeadingPairs>
    <vt:vector size="2" baseType="variant">
      <vt:variant>
        <vt:lpstr>Title</vt:lpstr>
      </vt:variant>
      <vt:variant>
        <vt:i4>1</vt:i4>
      </vt:variant>
    </vt:vector>
  </HeadingPairs>
  <TitlesOfParts>
    <vt:vector size="1" baseType="lpstr">
      <vt:lpstr>Proposed Revised MCJC 2.24 (1) (MB080778).DOC</vt:lpstr>
    </vt:vector>
  </TitlesOfParts>
  <Company>State of NJ-Judiciary</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Revised MCJC 2.24 (1) (MB080778).DOC</dc:title>
  <dc:subject/>
  <dc:creator>PC307704</dc:creator>
  <cp:keywords/>
  <dc:description/>
  <cp:lastModifiedBy>Jayavidya Mukund</cp:lastModifiedBy>
  <cp:revision>2</cp:revision>
  <cp:lastPrinted>2019-04-18T16:39:00Z</cp:lastPrinted>
  <dcterms:created xsi:type="dcterms:W3CDTF">2020-01-02T17:07:00Z</dcterms:created>
  <dcterms:modified xsi:type="dcterms:W3CDTF">2020-01-02T17:07:00Z</dcterms:modified>
</cp:coreProperties>
</file>