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1834" w14:textId="4365BC12" w:rsidR="00ED5B26" w:rsidRPr="00811451" w:rsidRDefault="009A6AEC" w:rsidP="008970C8">
      <w:pPr>
        <w:pStyle w:val="BodyTextIndent"/>
        <w:widowControl/>
        <w:tabs>
          <w:tab w:val="clear" w:pos="-720"/>
          <w:tab w:val="clear" w:pos="0"/>
          <w:tab w:val="clear" w:pos="720"/>
        </w:tabs>
        <w:spacing w:after="0" w:line="240" w:lineRule="auto"/>
        <w:jc w:val="left"/>
      </w:pPr>
      <w:r w:rsidRPr="00811451">
        <w:t>2.2</w:t>
      </w:r>
      <w:r w:rsidR="004D52AF" w:rsidRPr="00811451">
        <w:t>6</w:t>
      </w:r>
      <w:r w:rsidR="009B279E">
        <w:t>A</w:t>
      </w:r>
      <w:r w:rsidR="0014290D" w:rsidRPr="00811451">
        <w:tab/>
      </w:r>
      <w:r w:rsidR="009B279E">
        <w:rPr>
          <w:caps/>
        </w:rPr>
        <w:t xml:space="preserve">penalizing employee affected by pregnancy for requesting </w:t>
      </w:r>
      <w:r w:rsidR="000C61E9">
        <w:rPr>
          <w:caps/>
        </w:rPr>
        <w:t xml:space="preserve">OR USING </w:t>
      </w:r>
      <w:r w:rsidR="009B279E">
        <w:rPr>
          <w:caps/>
        </w:rPr>
        <w:t>an accomm</w:t>
      </w:r>
      <w:r w:rsidR="00391E1B">
        <w:rPr>
          <w:caps/>
        </w:rPr>
        <w:t>o</w:t>
      </w:r>
      <w:r w:rsidR="009B279E">
        <w:rPr>
          <w:caps/>
        </w:rPr>
        <w:t>dation</w:t>
      </w:r>
      <w:r w:rsidR="00FB35A8" w:rsidRPr="001F55A6">
        <w:rPr>
          <w:caps/>
        </w:rPr>
        <w:t xml:space="preserve"> </w:t>
      </w:r>
      <w:r w:rsidR="009B279E">
        <w:rPr>
          <w:b w:val="0"/>
        </w:rPr>
        <w:t>(Approve</w:t>
      </w:r>
      <w:r w:rsidR="00AF32A4">
        <w:rPr>
          <w:b w:val="0"/>
        </w:rPr>
        <w:t>d</w:t>
      </w:r>
      <w:r w:rsidR="009B279E">
        <w:rPr>
          <w:b w:val="0"/>
        </w:rPr>
        <w:t xml:space="preserve"> </w:t>
      </w:r>
      <w:r w:rsidR="0019429B">
        <w:rPr>
          <w:b w:val="0"/>
        </w:rPr>
        <w:t>10</w:t>
      </w:r>
      <w:r w:rsidR="00CC409D">
        <w:rPr>
          <w:b w:val="0"/>
        </w:rPr>
        <w:t>/202</w:t>
      </w:r>
      <w:r w:rsidR="0019429B">
        <w:rPr>
          <w:b w:val="0"/>
        </w:rPr>
        <w:t>2</w:t>
      </w:r>
      <w:r w:rsidR="009B279E">
        <w:rPr>
          <w:b w:val="0"/>
        </w:rPr>
        <w:t>)</w:t>
      </w:r>
    </w:p>
    <w:p w14:paraId="79F666EB" w14:textId="77777777" w:rsidR="00ED5B26" w:rsidRPr="00811451" w:rsidRDefault="00ED5B26" w:rsidP="008970C8">
      <w:pPr>
        <w:widowControl/>
        <w:tabs>
          <w:tab w:val="center" w:pos="4680"/>
        </w:tabs>
        <w:spacing w:line="480" w:lineRule="auto"/>
        <w:jc w:val="both"/>
        <w:rPr>
          <w:spacing w:val="-3"/>
        </w:rPr>
      </w:pPr>
      <w:bookmarkStart w:id="0" w:name="a2_22G"/>
      <w:bookmarkEnd w:id="0"/>
    </w:p>
    <w:p w14:paraId="7CD73204" w14:textId="211D52EE" w:rsidR="004779B4" w:rsidRPr="00811451" w:rsidRDefault="004D52AF" w:rsidP="008970C8">
      <w:pPr>
        <w:pStyle w:val="BodyTextIndent2"/>
        <w:widowControl/>
        <w:tabs>
          <w:tab w:val="clear" w:pos="-720"/>
          <w:tab w:val="clear" w:pos="0"/>
          <w:tab w:val="clear" w:pos="720"/>
        </w:tabs>
        <w:spacing w:line="480" w:lineRule="auto"/>
        <w:ind w:left="0" w:firstLine="0"/>
      </w:pPr>
      <w:r w:rsidRPr="00811451">
        <w:tab/>
        <w:t xml:space="preserve">Plaintiff claims that defendant unlawfully </w:t>
      </w:r>
      <w:r w:rsidR="009B279E">
        <w:t xml:space="preserve">penalized </w:t>
      </w:r>
      <w:r w:rsidR="00CC409D">
        <w:t>plaintiff</w:t>
      </w:r>
      <w:r w:rsidR="009B279E">
        <w:t xml:space="preserve"> for requesting</w:t>
      </w:r>
      <w:r w:rsidR="00287344">
        <w:t xml:space="preserve"> [or using]</w:t>
      </w:r>
      <w:r w:rsidR="009B279E">
        <w:t xml:space="preserve"> an accommodation of pregnancy [or breastfeeding]</w:t>
      </w:r>
      <w:r w:rsidRPr="00811451">
        <w:t>.  Specifically, plaintiff argues that defendant should have</w:t>
      </w:r>
      <w:r w:rsidR="009B279E">
        <w:t xml:space="preserve"> maintained</w:t>
      </w:r>
      <w:r w:rsidRPr="00811451">
        <w:t xml:space="preserve"> </w:t>
      </w:r>
      <w:r w:rsidR="00382ACE" w:rsidRPr="00382ACE">
        <w:t>[</w:t>
      </w:r>
      <w:r w:rsidRPr="00811451">
        <w:rPr>
          <w:i/>
        </w:rPr>
        <w:t xml:space="preserve">insert description of </w:t>
      </w:r>
      <w:r w:rsidR="009B279E">
        <w:rPr>
          <w:i/>
        </w:rPr>
        <w:t>terms, conditions and/or privileges that were changed</w:t>
      </w:r>
      <w:r w:rsidR="00382ACE" w:rsidRPr="00382ACE">
        <w:t>]</w:t>
      </w:r>
      <w:r w:rsidR="009B279E">
        <w:t xml:space="preserve"> rather than [</w:t>
      </w:r>
      <w:r w:rsidR="009B279E">
        <w:rPr>
          <w:i/>
          <w:iCs/>
        </w:rPr>
        <w:t>describe change(s)</w:t>
      </w:r>
      <w:r w:rsidR="009B279E">
        <w:t>]</w:t>
      </w:r>
      <w:r w:rsidRPr="00811451">
        <w:t xml:space="preserve">.  Defendant argues that </w:t>
      </w:r>
      <w:r w:rsidR="00382ACE" w:rsidRPr="00382ACE">
        <w:t>[</w:t>
      </w:r>
      <w:r w:rsidRPr="00811451">
        <w:rPr>
          <w:i/>
        </w:rPr>
        <w:t>insert description of defendant’s position, such as</w:t>
      </w:r>
      <w:r w:rsidR="003C3996" w:rsidRPr="00811451">
        <w:rPr>
          <w:i/>
        </w:rPr>
        <w:t xml:space="preserve"> </w:t>
      </w:r>
      <w:r w:rsidR="004779B4" w:rsidRPr="00811451">
        <w:rPr>
          <w:i/>
        </w:rPr>
        <w:t xml:space="preserve">“it was not aware that plaintiff needed an accommodation” or “the </w:t>
      </w:r>
      <w:r w:rsidR="009B279E">
        <w:rPr>
          <w:i/>
        </w:rPr>
        <w:t xml:space="preserve">changes to plaintiff’s terms, conditions and employment did not penalize </w:t>
      </w:r>
      <w:r w:rsidR="00CC409D">
        <w:rPr>
          <w:i/>
        </w:rPr>
        <w:t>plaintiff</w:t>
      </w:r>
      <w:r w:rsidR="004779B4" w:rsidRPr="00811451">
        <w:rPr>
          <w:i/>
        </w:rPr>
        <w:t>”</w:t>
      </w:r>
      <w:r w:rsidR="003C3996" w:rsidRPr="00811451">
        <w:rPr>
          <w:i/>
        </w:rPr>
        <w:t>, etc.</w:t>
      </w:r>
      <w:r w:rsidR="00382ACE" w:rsidRPr="00382ACE">
        <w:t>]</w:t>
      </w:r>
      <w:r w:rsidR="003C3996" w:rsidRPr="00811451">
        <w:t>.</w:t>
      </w:r>
    </w:p>
    <w:p w14:paraId="69E7139E" w14:textId="6FD33583" w:rsidR="00735E80" w:rsidRDefault="005F0785" w:rsidP="008970C8">
      <w:pPr>
        <w:pStyle w:val="BodyTextIndent2"/>
        <w:widowControl/>
        <w:tabs>
          <w:tab w:val="clear" w:pos="-720"/>
          <w:tab w:val="clear" w:pos="0"/>
          <w:tab w:val="clear" w:pos="720"/>
        </w:tabs>
        <w:spacing w:line="480" w:lineRule="auto"/>
        <w:ind w:left="0" w:firstLine="0"/>
        <w:rPr>
          <w:b/>
          <w:bCs/>
        </w:rPr>
      </w:pPr>
      <w:r w:rsidRPr="00811451">
        <w:tab/>
        <w:t xml:space="preserve">To </w:t>
      </w:r>
      <w:r w:rsidR="00B07764">
        <w:t xml:space="preserve">prevail on </w:t>
      </w:r>
      <w:r w:rsidR="00CC409D">
        <w:t>a</w:t>
      </w:r>
      <w:r w:rsidR="00CC409D" w:rsidRPr="00811451">
        <w:t xml:space="preserve"> </w:t>
      </w:r>
      <w:r w:rsidR="00B07764">
        <w:t>claim</w:t>
      </w:r>
      <w:r w:rsidRPr="00811451">
        <w:t xml:space="preserve">, plaintiff must </w:t>
      </w:r>
      <w:r w:rsidR="009944D4" w:rsidRPr="00811451">
        <w:t xml:space="preserve">prove each of the following elements by a preponderance of the evidence.  First, </w:t>
      </w:r>
      <w:r w:rsidR="00890C79" w:rsidRPr="00811451">
        <w:t xml:space="preserve">plaintiff must prove that </w:t>
      </w:r>
      <w:r w:rsidR="00C62400">
        <w:t xml:space="preserve">the defendant knew or should have known that </w:t>
      </w:r>
      <w:r w:rsidR="00CC409D" w:rsidRPr="00811451">
        <w:t xml:space="preserve">plaintiff </w:t>
      </w:r>
      <w:r w:rsidR="009B279E">
        <w:t>was affected by pregnancy or breastfeeding</w:t>
      </w:r>
      <w:r w:rsidR="00890C79" w:rsidRPr="00811451">
        <w:t xml:space="preserve">.  Second, plaintiff must prove that </w:t>
      </w:r>
      <w:r w:rsidR="002B1077">
        <w:t xml:space="preserve">based on the advice of </w:t>
      </w:r>
      <w:r w:rsidR="00735E80" w:rsidRPr="00811451">
        <w:t>plaintiff</w:t>
      </w:r>
      <w:r w:rsidR="00735E80">
        <w:t xml:space="preserve">’s </w:t>
      </w:r>
      <w:r w:rsidR="002B1077">
        <w:t xml:space="preserve">physician, </w:t>
      </w:r>
      <w:r w:rsidR="00735E80">
        <w:t xml:space="preserve">plaintiff </w:t>
      </w:r>
      <w:r w:rsidR="002B1077">
        <w:t xml:space="preserve">requested or used an accommodation of needs related to pregnancy or breastfeeding, and </w:t>
      </w:r>
      <w:r w:rsidR="00890C79" w:rsidRPr="00811451">
        <w:t xml:space="preserve">that defendant was aware of </w:t>
      </w:r>
      <w:r w:rsidR="00735E80">
        <w:t>the</w:t>
      </w:r>
      <w:r w:rsidR="00890C79" w:rsidRPr="00811451">
        <w:t xml:space="preserve"> </w:t>
      </w:r>
      <w:r w:rsidR="00287344">
        <w:t xml:space="preserve">request or use of an </w:t>
      </w:r>
      <w:r w:rsidR="00890C79" w:rsidRPr="00811451">
        <w:t>accommodation</w:t>
      </w:r>
      <w:r w:rsidR="00B75822">
        <w:t xml:space="preserve"> of pregnancy or breastfeeding</w:t>
      </w:r>
      <w:r w:rsidR="00890C79" w:rsidRPr="00811451">
        <w:t xml:space="preserve">.  </w:t>
      </w:r>
      <w:r w:rsidR="002B1077">
        <w:t>Third</w:t>
      </w:r>
      <w:r w:rsidR="00890C79" w:rsidRPr="00811451">
        <w:t xml:space="preserve">, plaintiff must prove that </w:t>
      </w:r>
      <w:r w:rsidR="00E9307F">
        <w:t xml:space="preserve">defendant </w:t>
      </w:r>
      <w:r w:rsidR="004E1E68">
        <w:t xml:space="preserve">detrimentally </w:t>
      </w:r>
      <w:r w:rsidR="00E9307F">
        <w:t>altered one or more of the terms, conditions or privileges of employment</w:t>
      </w:r>
      <w:r w:rsidR="00287344">
        <w:t xml:space="preserve">.  </w:t>
      </w:r>
      <w:r w:rsidR="002B1077">
        <w:t>Fourth</w:t>
      </w:r>
      <w:r w:rsidR="00287344">
        <w:t xml:space="preserve">, plaintiff must prove </w:t>
      </w:r>
      <w:r w:rsidR="00EB50A2">
        <w:t xml:space="preserve">a causal connection between </w:t>
      </w:r>
      <w:r w:rsidR="00735E80">
        <w:t>the</w:t>
      </w:r>
      <w:r w:rsidR="00287344">
        <w:t xml:space="preserve"> request or use of the accommodation </w:t>
      </w:r>
      <w:r w:rsidR="00EB50A2">
        <w:t xml:space="preserve">and </w:t>
      </w:r>
      <w:r w:rsidR="00297BCB">
        <w:lastRenderedPageBreak/>
        <w:t>defendant’s</w:t>
      </w:r>
      <w:r w:rsidR="00287344">
        <w:t xml:space="preserve"> decision to change the terms, </w:t>
      </w:r>
      <w:proofErr w:type="gramStart"/>
      <w:r w:rsidR="00287344">
        <w:t>conditions</w:t>
      </w:r>
      <w:proofErr w:type="gramEnd"/>
      <w:r w:rsidR="00287344">
        <w:t xml:space="preserve"> or privileges of </w:t>
      </w:r>
      <w:r w:rsidR="00735E80">
        <w:t xml:space="preserve">plaintiff’s </w:t>
      </w:r>
      <w:r w:rsidR="00287344">
        <w:t>employment.</w:t>
      </w:r>
      <w:r w:rsidR="00BC18E9">
        <w:rPr>
          <w:rStyle w:val="FootnoteReference"/>
        </w:rPr>
        <w:footnoteReference w:id="1"/>
      </w:r>
    </w:p>
    <w:p w14:paraId="754F7534" w14:textId="667321DD" w:rsidR="00B75822" w:rsidRPr="00B75822" w:rsidRDefault="00B75822" w:rsidP="008970C8">
      <w:pPr>
        <w:pStyle w:val="BodyTextIndent2"/>
        <w:widowControl/>
        <w:numPr>
          <w:ilvl w:val="0"/>
          <w:numId w:val="8"/>
        </w:numPr>
        <w:tabs>
          <w:tab w:val="clear" w:pos="-720"/>
          <w:tab w:val="clear" w:pos="0"/>
          <w:tab w:val="clear" w:pos="720"/>
        </w:tabs>
        <w:spacing w:line="480" w:lineRule="auto"/>
        <w:rPr>
          <w:b/>
          <w:bCs/>
        </w:rPr>
      </w:pPr>
      <w:r>
        <w:rPr>
          <w:b/>
          <w:bCs/>
        </w:rPr>
        <w:t>Affected by Pregnancy or Breastfeeding</w:t>
      </w:r>
    </w:p>
    <w:p w14:paraId="106AC586" w14:textId="239FF820" w:rsidR="002B1077" w:rsidRPr="002B1077" w:rsidRDefault="004779B4" w:rsidP="008970C8">
      <w:pPr>
        <w:pStyle w:val="NormalWeb"/>
        <w:shd w:val="clear" w:color="auto" w:fill="FFFFFF"/>
        <w:spacing w:before="0" w:beforeAutospacing="0" w:after="0" w:afterAutospacing="0" w:line="480" w:lineRule="auto"/>
        <w:jc w:val="both"/>
        <w:rPr>
          <w:sz w:val="28"/>
          <w:szCs w:val="28"/>
        </w:rPr>
      </w:pPr>
      <w:r w:rsidRPr="002B1077">
        <w:rPr>
          <w:sz w:val="28"/>
          <w:szCs w:val="28"/>
        </w:rPr>
        <w:tab/>
        <w:t xml:space="preserve">To </w:t>
      </w:r>
      <w:r w:rsidRPr="00735E80">
        <w:rPr>
          <w:sz w:val="28"/>
          <w:szCs w:val="28"/>
        </w:rPr>
        <w:t xml:space="preserve">prove </w:t>
      </w:r>
      <w:r w:rsidR="000F3DFD" w:rsidRPr="00735E80">
        <w:rPr>
          <w:sz w:val="28"/>
          <w:szCs w:val="28"/>
        </w:rPr>
        <w:t>the first element of</w:t>
      </w:r>
      <w:r w:rsidR="00B75822" w:rsidRPr="00735E80">
        <w:rPr>
          <w:sz w:val="28"/>
          <w:szCs w:val="28"/>
        </w:rPr>
        <w:t xml:space="preserve"> </w:t>
      </w:r>
      <w:r w:rsidR="00735E80" w:rsidRPr="00735E80">
        <w:rPr>
          <w:sz w:val="28"/>
          <w:szCs w:val="28"/>
        </w:rPr>
        <w:t xml:space="preserve">plaintiff’s </w:t>
      </w:r>
      <w:r w:rsidR="000F3DFD" w:rsidRPr="00735E80">
        <w:rPr>
          <w:sz w:val="28"/>
          <w:szCs w:val="28"/>
        </w:rPr>
        <w:t xml:space="preserve">claim, </w:t>
      </w:r>
      <w:r w:rsidR="00B75822" w:rsidRPr="00735E80">
        <w:rPr>
          <w:sz w:val="28"/>
          <w:szCs w:val="28"/>
        </w:rPr>
        <w:t>the plaintiff must show that</w:t>
      </w:r>
      <w:r w:rsidR="00C62400" w:rsidRPr="00735E80">
        <w:rPr>
          <w:sz w:val="28"/>
          <w:szCs w:val="28"/>
        </w:rPr>
        <w:t xml:space="preserve"> the defendant knew or should have known</w:t>
      </w:r>
      <w:r w:rsidR="00C62400" w:rsidRPr="002B1077">
        <w:rPr>
          <w:sz w:val="28"/>
          <w:szCs w:val="28"/>
        </w:rPr>
        <w:t xml:space="preserve"> that</w:t>
      </w:r>
      <w:r w:rsidR="00B75822" w:rsidRPr="002B1077">
        <w:rPr>
          <w:sz w:val="28"/>
          <w:szCs w:val="28"/>
        </w:rPr>
        <w:t xml:space="preserve"> </w:t>
      </w:r>
      <w:r w:rsidR="00735E80" w:rsidRPr="00735E80">
        <w:rPr>
          <w:sz w:val="28"/>
          <w:szCs w:val="28"/>
        </w:rPr>
        <w:t xml:space="preserve">plaintiff </w:t>
      </w:r>
      <w:r w:rsidR="00B75822" w:rsidRPr="002B1077">
        <w:rPr>
          <w:sz w:val="28"/>
          <w:szCs w:val="28"/>
        </w:rPr>
        <w:t>was pregnant or breastfeeding.</w:t>
      </w:r>
      <w:r w:rsidR="002B1077" w:rsidRPr="002B1077">
        <w:rPr>
          <w:sz w:val="28"/>
          <w:szCs w:val="28"/>
        </w:rPr>
        <w:t xml:space="preserve">  “</w:t>
      </w:r>
      <w:r w:rsidR="002B1077">
        <w:rPr>
          <w:rStyle w:val="wordphrase"/>
          <w:sz w:val="28"/>
          <w:szCs w:val="28"/>
        </w:rPr>
        <w:t>P</w:t>
      </w:r>
      <w:r w:rsidR="002B1077" w:rsidRPr="002B1077">
        <w:rPr>
          <w:rStyle w:val="wordphrase"/>
          <w:sz w:val="28"/>
          <w:szCs w:val="28"/>
        </w:rPr>
        <w:t>regnancy or breastfeeding</w:t>
      </w:r>
      <w:r w:rsidR="002B1077" w:rsidRPr="002B1077">
        <w:rPr>
          <w:sz w:val="28"/>
          <w:szCs w:val="28"/>
        </w:rPr>
        <w:t>” means pregnancy, childbirth, and breastfeeding or expressing milk for breastfeeding, or medical conditions related to pregnancy, childbirth, or breastfeeding, including recovery from childbirth.</w:t>
      </w:r>
      <w:r w:rsidR="007E3174">
        <w:rPr>
          <w:rStyle w:val="FootnoteReference"/>
          <w:sz w:val="28"/>
          <w:szCs w:val="28"/>
        </w:rPr>
        <w:footnoteReference w:id="2"/>
      </w:r>
    </w:p>
    <w:p w14:paraId="1BA7513C" w14:textId="6422570E" w:rsidR="00B75822" w:rsidRDefault="002B1077" w:rsidP="008970C8">
      <w:pPr>
        <w:pStyle w:val="BodyTextIndent2"/>
        <w:widowControl/>
        <w:numPr>
          <w:ilvl w:val="0"/>
          <w:numId w:val="8"/>
        </w:numPr>
        <w:tabs>
          <w:tab w:val="clear" w:pos="-720"/>
          <w:tab w:val="clear" w:pos="0"/>
          <w:tab w:val="clear" w:pos="720"/>
        </w:tabs>
        <w:spacing w:line="480" w:lineRule="auto"/>
        <w:rPr>
          <w:b/>
          <w:bCs/>
        </w:rPr>
      </w:pPr>
      <w:r>
        <w:rPr>
          <w:b/>
          <w:bCs/>
        </w:rPr>
        <w:t>Request or Use of Accommodation Based on Physician Advice</w:t>
      </w:r>
    </w:p>
    <w:p w14:paraId="46FBF147" w14:textId="0F063D14" w:rsidR="000749D5" w:rsidRPr="00811451" w:rsidRDefault="00D2533A" w:rsidP="008970C8">
      <w:pPr>
        <w:pStyle w:val="BodyTextIndent2"/>
        <w:widowControl/>
        <w:tabs>
          <w:tab w:val="clear" w:pos="-720"/>
          <w:tab w:val="clear" w:pos="0"/>
          <w:tab w:val="clear" w:pos="720"/>
        </w:tabs>
        <w:spacing w:line="480" w:lineRule="auto"/>
        <w:ind w:left="0" w:firstLine="0"/>
      </w:pPr>
      <w:r w:rsidRPr="00811451">
        <w:tab/>
      </w:r>
      <w:r w:rsidR="000749D5" w:rsidRPr="00811451">
        <w:t xml:space="preserve">The </w:t>
      </w:r>
      <w:r w:rsidR="002B1077">
        <w:t>second</w:t>
      </w:r>
      <w:r w:rsidR="000749D5" w:rsidRPr="00811451">
        <w:t xml:space="preserve"> element that the plaintiff must prove is that </w:t>
      </w:r>
      <w:r w:rsidR="002B1077">
        <w:t xml:space="preserve">based on the advice of </w:t>
      </w:r>
      <w:r w:rsidR="00735E80" w:rsidRPr="00811451">
        <w:t>plaintiff</w:t>
      </w:r>
      <w:r w:rsidR="00735E80">
        <w:t>’s</w:t>
      </w:r>
      <w:r w:rsidR="00735E80" w:rsidRPr="00811451">
        <w:t xml:space="preserve"> </w:t>
      </w:r>
      <w:r w:rsidR="002B1077">
        <w:t>physician</w:t>
      </w:r>
      <w:r w:rsidR="00360DC0">
        <w:t>,</w:t>
      </w:r>
      <w:r w:rsidR="002B1077">
        <w:rPr>
          <w:rStyle w:val="FootnoteReference"/>
        </w:rPr>
        <w:footnoteReference w:id="3"/>
      </w:r>
      <w:r w:rsidR="002B1077">
        <w:t xml:space="preserve"> </w:t>
      </w:r>
      <w:r w:rsidR="000B4F1C">
        <w:t>plaintiff</w:t>
      </w:r>
      <w:r w:rsidR="002B1077">
        <w:t xml:space="preserve"> requested or used an accommodation of needs related to pregnancy </w:t>
      </w:r>
      <w:r w:rsidR="007E3174">
        <w:t>[</w:t>
      </w:r>
      <w:r w:rsidR="002B1077">
        <w:t>or breastfeeding</w:t>
      </w:r>
      <w:r w:rsidR="007E3174">
        <w:t>]</w:t>
      </w:r>
      <w:r w:rsidR="002B1077">
        <w:t xml:space="preserve">, and that </w:t>
      </w:r>
      <w:r w:rsidR="000749D5" w:rsidRPr="00811451">
        <w:t xml:space="preserve">defendant was aware of </w:t>
      </w:r>
      <w:r w:rsidR="000B4F1C" w:rsidRPr="00811451">
        <w:t>plaintiff</w:t>
      </w:r>
      <w:r w:rsidR="000B4F1C">
        <w:t>’s</w:t>
      </w:r>
      <w:r w:rsidR="000B4F1C" w:rsidRPr="00811451">
        <w:t xml:space="preserve"> </w:t>
      </w:r>
      <w:r w:rsidR="00C62400">
        <w:t>request or use of</w:t>
      </w:r>
      <w:r w:rsidR="000749D5" w:rsidRPr="00811451">
        <w:t xml:space="preserve"> an accommodation</w:t>
      </w:r>
      <w:r w:rsidR="00C62400">
        <w:t xml:space="preserve"> of pregnancy </w:t>
      </w:r>
      <w:r w:rsidR="007E3174">
        <w:t>[</w:t>
      </w:r>
      <w:r w:rsidR="00C62400">
        <w:t>or breastfeeding</w:t>
      </w:r>
      <w:r w:rsidR="007E3174">
        <w:t>]</w:t>
      </w:r>
      <w:r w:rsidR="000749D5" w:rsidRPr="00811451">
        <w:t xml:space="preserve">.  In many cases, plaintiff will do so by offering evidence that </w:t>
      </w:r>
      <w:r w:rsidR="000B4F1C" w:rsidRPr="00811451">
        <w:t xml:space="preserve">plaintiff </w:t>
      </w:r>
      <w:r w:rsidR="000749D5" w:rsidRPr="00811451">
        <w:t>requested an accommodation from defendant.</w:t>
      </w:r>
      <w:r w:rsidR="00042F9E" w:rsidRPr="00811451">
        <w:t xml:space="preserve">  It is not necessary that </w:t>
      </w:r>
      <w:r w:rsidR="003C0427">
        <w:t xml:space="preserve">the </w:t>
      </w:r>
      <w:r w:rsidR="00042F9E" w:rsidRPr="00811451">
        <w:t>request for accommodation be in writing or even use the phrase “reasonable accommodation”.</w:t>
      </w:r>
      <w:r w:rsidR="00DF34DA" w:rsidRPr="00811451">
        <w:rPr>
          <w:rStyle w:val="FootnoteReference"/>
        </w:rPr>
        <w:footnoteReference w:id="4"/>
      </w:r>
      <w:r w:rsidR="00DF34DA" w:rsidRPr="00811451">
        <w:t xml:space="preserve">  An employee may use plain English </w:t>
      </w:r>
      <w:r w:rsidR="00DF34DA" w:rsidRPr="00811451">
        <w:lastRenderedPageBreak/>
        <w:t>and need not mention any law requiring accommodation.</w:t>
      </w:r>
      <w:r w:rsidR="00DF34DA" w:rsidRPr="00811451">
        <w:rPr>
          <w:rStyle w:val="FootnoteReference"/>
        </w:rPr>
        <w:footnoteReference w:id="5"/>
      </w:r>
      <w:r w:rsidR="00DF34DA" w:rsidRPr="00811451">
        <w:t xml:space="preserve">  Although there are no magic words that the employee must use, </w:t>
      </w:r>
      <w:r w:rsidR="000B4F1C">
        <w:t>the employee</w:t>
      </w:r>
      <w:r w:rsidR="00DF34DA" w:rsidRPr="00811451">
        <w:t xml:space="preserve"> must make clear to the employer that some </w:t>
      </w:r>
      <w:r w:rsidR="007E3174">
        <w:t xml:space="preserve">accommodation </w:t>
      </w:r>
      <w:r w:rsidR="0049637E">
        <w:t xml:space="preserve">is needed </w:t>
      </w:r>
      <w:r w:rsidR="007E3174">
        <w:t>to perform</w:t>
      </w:r>
      <w:r w:rsidR="00DF34DA" w:rsidRPr="00811451">
        <w:t xml:space="preserve"> </w:t>
      </w:r>
      <w:r w:rsidR="0049637E">
        <w:t>the employee’s</w:t>
      </w:r>
      <w:r w:rsidR="0049637E" w:rsidRPr="00811451">
        <w:t xml:space="preserve"> </w:t>
      </w:r>
      <w:r w:rsidR="00DF34DA" w:rsidRPr="00811451">
        <w:t xml:space="preserve">job because of </w:t>
      </w:r>
      <w:r w:rsidR="00C62400">
        <w:t xml:space="preserve">pregnancy </w:t>
      </w:r>
      <w:r w:rsidR="007E3174">
        <w:t>[</w:t>
      </w:r>
      <w:r w:rsidR="00C62400">
        <w:t>or breastfeeding</w:t>
      </w:r>
      <w:r w:rsidR="007E3174">
        <w:t>]</w:t>
      </w:r>
      <w:r w:rsidR="00DF34DA" w:rsidRPr="00811451">
        <w:t>.</w:t>
      </w:r>
      <w:r w:rsidR="00DF34DA" w:rsidRPr="00811451">
        <w:rPr>
          <w:rStyle w:val="FootnoteReference"/>
        </w:rPr>
        <w:footnoteReference w:id="6"/>
      </w:r>
      <w:r w:rsidR="00DF34DA" w:rsidRPr="00811451">
        <w:t xml:space="preserve">  However, plaintiff need not prove that an accommodation </w:t>
      </w:r>
      <w:r w:rsidR="0049637E">
        <w:t xml:space="preserve">was </w:t>
      </w:r>
      <w:r w:rsidR="0049637E" w:rsidRPr="00811451">
        <w:t xml:space="preserve">requested </w:t>
      </w:r>
      <w:r w:rsidR="00DF34DA" w:rsidRPr="00811451">
        <w:t xml:space="preserve">if </w:t>
      </w:r>
      <w:r w:rsidR="0049637E">
        <w:t xml:space="preserve">plaintiff </w:t>
      </w:r>
      <w:r w:rsidR="00DF34DA" w:rsidRPr="00811451">
        <w:t xml:space="preserve">can prove that defendant knew about </w:t>
      </w:r>
      <w:r w:rsidR="0049637E">
        <w:t>the</w:t>
      </w:r>
      <w:r w:rsidR="00DF34DA" w:rsidRPr="00811451">
        <w:t xml:space="preserve"> </w:t>
      </w:r>
      <w:r w:rsidR="00C62400">
        <w:t xml:space="preserve">use of </w:t>
      </w:r>
      <w:r w:rsidR="00FE4AAA">
        <w:t xml:space="preserve">an </w:t>
      </w:r>
      <w:r w:rsidR="00DF34DA" w:rsidRPr="00811451">
        <w:t>accommodation in some other way.</w:t>
      </w:r>
    </w:p>
    <w:p w14:paraId="533068EE" w14:textId="77777777" w:rsidR="005F6A07" w:rsidRPr="005F6A07" w:rsidRDefault="004E1E68" w:rsidP="008970C8">
      <w:pPr>
        <w:pStyle w:val="BodyTextIndent2"/>
        <w:widowControl/>
        <w:numPr>
          <w:ilvl w:val="0"/>
          <w:numId w:val="8"/>
        </w:numPr>
        <w:tabs>
          <w:tab w:val="clear" w:pos="-720"/>
          <w:tab w:val="clear" w:pos="0"/>
          <w:tab w:val="clear" w:pos="720"/>
        </w:tabs>
        <w:spacing w:line="480" w:lineRule="auto"/>
      </w:pPr>
      <w:r>
        <w:rPr>
          <w:b/>
          <w:bCs/>
        </w:rPr>
        <w:t xml:space="preserve">Detrimental </w:t>
      </w:r>
      <w:r w:rsidR="00F10A50">
        <w:rPr>
          <w:b/>
          <w:bCs/>
        </w:rPr>
        <w:t>Change in the Terms, Conditions or Privileges of Employment</w:t>
      </w:r>
    </w:p>
    <w:p w14:paraId="2157EAAD" w14:textId="0165E6A2" w:rsidR="00F10A50" w:rsidRDefault="00F336E8" w:rsidP="008970C8">
      <w:pPr>
        <w:pStyle w:val="BodyTextIndent2"/>
        <w:widowControl/>
        <w:tabs>
          <w:tab w:val="clear" w:pos="-720"/>
          <w:tab w:val="clear" w:pos="0"/>
          <w:tab w:val="clear" w:pos="720"/>
        </w:tabs>
        <w:spacing w:line="480" w:lineRule="auto"/>
        <w:ind w:left="0" w:firstLine="0"/>
      </w:pPr>
      <w:r w:rsidRPr="00811451">
        <w:tab/>
        <w:t xml:space="preserve">The </w:t>
      </w:r>
      <w:r w:rsidR="007D1765">
        <w:t>third</w:t>
      </w:r>
      <w:r w:rsidRPr="00811451">
        <w:t xml:space="preserve"> element that plaintiff must prove is</w:t>
      </w:r>
      <w:r w:rsidR="00F10A50" w:rsidRPr="00811451">
        <w:t xml:space="preserve"> that</w:t>
      </w:r>
      <w:r w:rsidR="0015166E">
        <w:t xml:space="preserve"> the defendant</w:t>
      </w:r>
      <w:r w:rsidR="00E9307F">
        <w:t xml:space="preserve"> </w:t>
      </w:r>
      <w:r w:rsidR="0015166E">
        <w:t>altered the terms and conditions of the plaintiff’s employment</w:t>
      </w:r>
      <w:r w:rsidR="0035285A">
        <w:t xml:space="preserve"> to the plaintiff</w:t>
      </w:r>
      <w:r w:rsidR="004E1E68">
        <w:t>’s detriment</w:t>
      </w:r>
      <w:r w:rsidR="0035285A">
        <w:t xml:space="preserve">.  Generally, the plaintiff may prove this element in one of two ways. First, the plaintiff may show that the defendant imposed unreasonable conditions on </w:t>
      </w:r>
      <w:r w:rsidR="0049637E">
        <w:t>the</w:t>
      </w:r>
      <w:r w:rsidR="0035285A">
        <w:t xml:space="preserve"> use of the accommodation.  Second, </w:t>
      </w:r>
      <w:r w:rsidR="0049637E">
        <w:t>plaintiff</w:t>
      </w:r>
      <w:r w:rsidR="0035285A">
        <w:t xml:space="preserve"> may show that</w:t>
      </w:r>
      <w:r w:rsidR="0015166E">
        <w:t xml:space="preserve"> </w:t>
      </w:r>
      <w:r w:rsidR="00297BCB">
        <w:t xml:space="preserve">(a) </w:t>
      </w:r>
      <w:r w:rsidR="00F10A50">
        <w:t xml:space="preserve">defendant </w:t>
      </w:r>
      <w:r w:rsidR="0035285A">
        <w:t>altered</w:t>
      </w:r>
      <w:r w:rsidR="00297BCB">
        <w:t>, in any way,</w:t>
      </w:r>
      <w:r w:rsidR="00F10A50">
        <w:t xml:space="preserve"> one or more of the terms, conditions or privileges of employment after defendant became aware of </w:t>
      </w:r>
      <w:r w:rsidR="0049637E">
        <w:t xml:space="preserve">the </w:t>
      </w:r>
      <w:r w:rsidR="00F10A50">
        <w:t>request or use of an accommodation</w:t>
      </w:r>
      <w:r w:rsidR="004E1E68">
        <w:t xml:space="preserve"> and</w:t>
      </w:r>
      <w:r w:rsidR="00297BCB">
        <w:t xml:space="preserve"> (b)</w:t>
      </w:r>
      <w:r w:rsidR="00F10A50">
        <w:t xml:space="preserve"> </w:t>
      </w:r>
      <w:r w:rsidR="004E1E68">
        <w:t>a reasonable person would believe that the change was detrimental.</w:t>
      </w:r>
      <w:r w:rsidR="00BC18E9">
        <w:rPr>
          <w:rStyle w:val="FootnoteReference"/>
        </w:rPr>
        <w:footnoteReference w:id="7"/>
      </w:r>
      <w:r w:rsidR="004E1E68">
        <w:t xml:space="preserve"> </w:t>
      </w:r>
      <w:r w:rsidR="00F10A50">
        <w:t xml:space="preserve">  </w:t>
      </w:r>
    </w:p>
    <w:p w14:paraId="3CB62D9C" w14:textId="36EAA8F6" w:rsidR="00297BCB" w:rsidRDefault="00297BCB" w:rsidP="008970C8">
      <w:pPr>
        <w:widowControl/>
        <w:autoSpaceDE/>
        <w:autoSpaceDN/>
        <w:adjustRightInd/>
        <w:spacing w:line="480" w:lineRule="auto"/>
        <w:ind w:firstLine="720"/>
        <w:jc w:val="both"/>
      </w:pPr>
      <w:r>
        <w:t xml:space="preserve">In deciding whether the </w:t>
      </w:r>
      <w:r w:rsidR="00360DC0">
        <w:t xml:space="preserve">conditions the employer imposed on the use of the accommodation </w:t>
      </w:r>
      <w:r w:rsidR="00CB5A41">
        <w:t>were</w:t>
      </w:r>
      <w:r w:rsidR="00360DC0">
        <w:t xml:space="preserve"> unreasonable and/or the </w:t>
      </w:r>
      <w:r>
        <w:t>change</w:t>
      </w:r>
      <w:r w:rsidR="00FE4AAA">
        <w:t>(s)</w:t>
      </w:r>
      <w:r>
        <w:t xml:space="preserve"> to plaintiff’s terms, </w:t>
      </w:r>
      <w:r>
        <w:lastRenderedPageBreak/>
        <w:t xml:space="preserve">conditions or privileges of employment </w:t>
      </w:r>
      <w:r w:rsidR="0035285A">
        <w:t>was detrimental</w:t>
      </w:r>
      <w:r>
        <w:t xml:space="preserve">, you must view the conduct from the perspective of a reasonable </w:t>
      </w:r>
      <w:r w:rsidR="00CC1983">
        <w:t>person</w:t>
      </w:r>
      <w:r>
        <w:t xml:space="preserve">, not from plaintiff's own subjective perspective. In other words, the issue you must decide is </w:t>
      </w:r>
      <w:r>
        <w:rPr>
          <w:u w:val="single" w:color="000000"/>
        </w:rPr>
        <w:t>not</w:t>
      </w:r>
      <w:r>
        <w:t xml:space="preserve"> whether plaintiff </w:t>
      </w:r>
      <w:r>
        <w:rPr>
          <w:u w:val="single" w:color="000000"/>
        </w:rPr>
        <w:t>personally</w:t>
      </w:r>
      <w:r>
        <w:t xml:space="preserve"> believed that </w:t>
      </w:r>
      <w:r w:rsidR="00FE4AAA">
        <w:t xml:space="preserve">the </w:t>
      </w:r>
      <w:r w:rsidR="00CB5A41">
        <w:t xml:space="preserve">conditions were unreasonable and/or the </w:t>
      </w:r>
      <w:r w:rsidR="00FE4AAA">
        <w:t xml:space="preserve">change </w:t>
      </w:r>
      <w:r w:rsidR="00A71BF6">
        <w:t xml:space="preserve">in the terms, conditions and privileges of employment </w:t>
      </w:r>
      <w:r w:rsidR="0035285A">
        <w:t>was detrimental</w:t>
      </w:r>
      <w:r w:rsidR="00FE4AAA">
        <w:t>.</w:t>
      </w:r>
      <w:r>
        <w:t xml:space="preserve"> The issue you must decide is whether a </w:t>
      </w:r>
      <w:r>
        <w:rPr>
          <w:u w:val="single" w:color="000000"/>
        </w:rPr>
        <w:t>reasonable</w:t>
      </w:r>
      <w:r>
        <w:rPr>
          <w:i/>
        </w:rPr>
        <w:t xml:space="preserve"> </w:t>
      </w:r>
      <w:r w:rsidR="00CC1983">
        <w:t xml:space="preserve">person </w:t>
      </w:r>
      <w:r>
        <w:t>would find th</w:t>
      </w:r>
      <w:r w:rsidR="00FE4AAA">
        <w:t>at</w:t>
      </w:r>
      <w:r w:rsidR="00CF5293">
        <w:t xml:space="preserve"> the</w:t>
      </w:r>
      <w:r w:rsidR="00FE4AAA">
        <w:t xml:space="preserve"> </w:t>
      </w:r>
      <w:r w:rsidR="00CB5A41">
        <w:t>conditions</w:t>
      </w:r>
      <w:r w:rsidR="00CF5293">
        <w:t xml:space="preserve"> imposed on </w:t>
      </w:r>
      <w:r w:rsidR="00CC1983">
        <w:t>the</w:t>
      </w:r>
      <w:r w:rsidR="00CF5293">
        <w:t xml:space="preserve"> use of the accommodation</w:t>
      </w:r>
      <w:r w:rsidR="00CB5A41">
        <w:t xml:space="preserve"> were unreasonable and/or</w:t>
      </w:r>
      <w:r w:rsidR="00CF5293">
        <w:t xml:space="preserve"> </w:t>
      </w:r>
      <w:r w:rsidR="00FE4AAA">
        <w:t xml:space="preserve">the change </w:t>
      </w:r>
      <w:r w:rsidR="00CF5293">
        <w:t xml:space="preserve">to the terms, conditions and privileges of employment </w:t>
      </w:r>
      <w:r w:rsidR="0035285A">
        <w:t>was detrimental</w:t>
      </w:r>
      <w:r w:rsidR="00FE4AAA">
        <w:t xml:space="preserve">. </w:t>
      </w:r>
      <w:r>
        <w:t>You must use your own judgment in deciding whether a reasonable</w:t>
      </w:r>
      <w:r w:rsidR="00631438">
        <w:t xml:space="preserve"> </w:t>
      </w:r>
      <w:r w:rsidR="00CC1983">
        <w:t>person</w:t>
      </w:r>
      <w:r w:rsidR="00631438">
        <w:t xml:space="preserve"> </w:t>
      </w:r>
      <w:r>
        <w:t xml:space="preserve">would </w:t>
      </w:r>
      <w:r w:rsidR="004E1E68">
        <w:t>believe that</w:t>
      </w:r>
      <w:r>
        <w:t xml:space="preserve"> </w:t>
      </w:r>
      <w:r w:rsidR="0035285A">
        <w:t>the</w:t>
      </w:r>
      <w:r w:rsidR="00CF5293">
        <w:t xml:space="preserve"> conditions imposed on the use of the accommodation was unreasonable and/or the</w:t>
      </w:r>
      <w:r w:rsidR="0035285A">
        <w:t xml:space="preserve"> alteration of one or more of </w:t>
      </w:r>
      <w:r>
        <w:t xml:space="preserve">the </w:t>
      </w:r>
      <w:r w:rsidR="00631438">
        <w:t xml:space="preserve">terms, conditions and privileges of employment </w:t>
      </w:r>
      <w:r w:rsidR="004E1E68">
        <w:t xml:space="preserve">was </w:t>
      </w:r>
      <w:r w:rsidR="0035285A">
        <w:t>detrimental</w:t>
      </w:r>
      <w:r>
        <w:t>.</w:t>
      </w:r>
      <w:r>
        <w:rPr>
          <w:i/>
        </w:rPr>
        <w:t xml:space="preserve"> </w:t>
      </w:r>
    </w:p>
    <w:p w14:paraId="2B386CCB" w14:textId="62773028" w:rsidR="00631438" w:rsidRDefault="00631438" w:rsidP="008970C8">
      <w:pPr>
        <w:widowControl/>
        <w:spacing w:line="480" w:lineRule="auto"/>
        <w:ind w:firstLine="720"/>
        <w:jc w:val="both"/>
      </w:pPr>
      <w:r>
        <w:t>I</w:t>
      </w:r>
      <w:r w:rsidR="00297BCB">
        <w:t xml:space="preserve">t is not necessary that the plaintiff show that </w:t>
      </w:r>
      <w:r w:rsidR="00CC1983">
        <w:t xml:space="preserve">plaintiff </w:t>
      </w:r>
      <w:r w:rsidR="00297BCB">
        <w:t xml:space="preserve">has actually been psychologically harmed by the </w:t>
      </w:r>
      <w:r>
        <w:t xml:space="preserve">change to </w:t>
      </w:r>
      <w:r w:rsidR="00CC1983">
        <w:t>the</w:t>
      </w:r>
      <w:r>
        <w:t xml:space="preserve"> terms, conditions or privileges of employment</w:t>
      </w:r>
      <w:r w:rsidR="00297BCB">
        <w:t xml:space="preserve">, or that </w:t>
      </w:r>
      <w:r w:rsidR="00CC1983">
        <w:t>the plaintiff</w:t>
      </w:r>
      <w:r w:rsidR="00297BCB">
        <w:t xml:space="preserve"> has suffered any economic loss as a consequence of the </w:t>
      </w:r>
      <w:r>
        <w:t>change</w:t>
      </w:r>
      <w:r w:rsidR="00297BCB">
        <w:t xml:space="preserve">. Those issues may be relevant to the damages plaintiff can recover, but they are not relevant to the issue of whether the conduct </w:t>
      </w:r>
      <w:r>
        <w:t>was</w:t>
      </w:r>
      <w:r w:rsidR="00297BCB">
        <w:t xml:space="preserve"> unlawful.  </w:t>
      </w:r>
      <w:r>
        <w:t xml:space="preserve">Any change to the terms, conditions or privileges of employment is unlawful if it was taken in response to the request or use of an accommodation of pregnancy or breastfeeding and a reasonable person would find that the change </w:t>
      </w:r>
      <w:r w:rsidR="004E1E68">
        <w:t>was detrimental</w:t>
      </w:r>
      <w:r>
        <w:t>.</w:t>
      </w:r>
    </w:p>
    <w:p w14:paraId="32C92D6B" w14:textId="119E2925" w:rsidR="00631438" w:rsidRPr="00631438" w:rsidRDefault="00631438" w:rsidP="008970C8">
      <w:pPr>
        <w:pStyle w:val="ListParagraph"/>
        <w:keepNext/>
        <w:keepLines/>
        <w:numPr>
          <w:ilvl w:val="0"/>
          <w:numId w:val="8"/>
        </w:numPr>
        <w:spacing w:line="480" w:lineRule="auto"/>
        <w:jc w:val="both"/>
        <w:rPr>
          <w:rFonts w:ascii="Times New Roman" w:hAnsi="Times New Roman" w:cs="Times New Roman"/>
          <w:b/>
          <w:bCs/>
          <w:sz w:val="28"/>
          <w:szCs w:val="28"/>
        </w:rPr>
      </w:pPr>
      <w:r w:rsidRPr="00631438">
        <w:rPr>
          <w:rFonts w:ascii="Times New Roman" w:hAnsi="Times New Roman" w:cs="Times New Roman"/>
          <w:b/>
          <w:bCs/>
          <w:sz w:val="28"/>
          <w:szCs w:val="28"/>
        </w:rPr>
        <w:lastRenderedPageBreak/>
        <w:t>Causal Connection</w:t>
      </w:r>
    </w:p>
    <w:p w14:paraId="48061DB5" w14:textId="77777777" w:rsidR="007D1765" w:rsidRPr="007D1765" w:rsidRDefault="007D1765" w:rsidP="008970C8">
      <w:pPr>
        <w:keepNext/>
        <w:keepLines/>
        <w:widowControl/>
        <w:spacing w:line="480" w:lineRule="auto"/>
        <w:ind w:left="720" w:right="720"/>
        <w:jc w:val="center"/>
        <w:rPr>
          <w:b/>
          <w:bCs/>
          <w:i/>
          <w:iCs/>
        </w:rPr>
      </w:pPr>
      <w:r w:rsidRPr="007D1765">
        <w:rPr>
          <w:b/>
          <w:bCs/>
          <w:i/>
          <w:iCs/>
        </w:rPr>
        <w:t>NOTE TO JUDGE</w:t>
      </w:r>
    </w:p>
    <w:p w14:paraId="2DAE83A5" w14:textId="19CEACB6" w:rsidR="007D1765" w:rsidRDefault="007D1765" w:rsidP="008970C8">
      <w:pPr>
        <w:keepNext/>
        <w:keepLines/>
        <w:widowControl/>
        <w:ind w:left="720" w:right="720"/>
        <w:jc w:val="both"/>
      </w:pPr>
      <w:r w:rsidRPr="00DE7DB1">
        <w:t xml:space="preserve">The causal connection charge should only be given where the defendant disputes that it changed the plaintiff’s terms, conditions or privileges of employment in response to the request or use of the accommodation.  </w:t>
      </w:r>
    </w:p>
    <w:p w14:paraId="28C475E5" w14:textId="77777777" w:rsidR="00282B07" w:rsidRPr="00DE7DB1" w:rsidRDefault="00282B07" w:rsidP="008970C8">
      <w:pPr>
        <w:widowControl/>
        <w:ind w:left="720" w:right="720"/>
        <w:jc w:val="both"/>
      </w:pPr>
    </w:p>
    <w:p w14:paraId="603094FE" w14:textId="18C44E9C" w:rsidR="00631438" w:rsidRPr="00631438" w:rsidRDefault="00631438" w:rsidP="008970C8">
      <w:pPr>
        <w:widowControl/>
        <w:spacing w:line="480" w:lineRule="auto"/>
        <w:ind w:firstLine="720"/>
        <w:jc w:val="both"/>
      </w:pPr>
      <w:r w:rsidRPr="00631438">
        <w:t xml:space="preserve">The </w:t>
      </w:r>
      <w:r w:rsidR="007D1765">
        <w:t>fourth</w:t>
      </w:r>
      <w:r w:rsidRPr="00631438">
        <w:t xml:space="preserve"> and final element is whether the plaintiff can prove the existence of a causal connection between </w:t>
      </w:r>
      <w:r w:rsidR="00AB3EE8">
        <w:t>the</w:t>
      </w:r>
      <w:r>
        <w:t xml:space="preserve"> request</w:t>
      </w:r>
      <w:r w:rsidR="00AC2FFC">
        <w:t xml:space="preserve"> for</w:t>
      </w:r>
      <w:r>
        <w:t xml:space="preserve"> or use of </w:t>
      </w:r>
      <w:r w:rsidR="00AC2FFC">
        <w:t xml:space="preserve">an </w:t>
      </w:r>
      <w:r>
        <w:t xml:space="preserve">accommodation </w:t>
      </w:r>
      <w:r w:rsidRPr="00631438">
        <w:t xml:space="preserve">and the </w:t>
      </w:r>
      <w:r>
        <w:t xml:space="preserve">change to the terms, conditions and privileges of employment by </w:t>
      </w:r>
      <w:r w:rsidR="00AB3EE8">
        <w:t>the</w:t>
      </w:r>
      <w:r w:rsidRPr="00631438">
        <w:t xml:space="preserve"> employer.  Ultimately, in considering </w:t>
      </w:r>
      <w:r w:rsidR="00282B07">
        <w:t xml:space="preserve">the fourth element </w:t>
      </w:r>
      <w:r w:rsidRPr="00631438">
        <w:t>of the plaintiff’s case, you must decide whether the plaintiff’s</w:t>
      </w:r>
      <w:r w:rsidR="00EB50A2">
        <w:t xml:space="preserve"> request</w:t>
      </w:r>
      <w:r w:rsidR="00AC2FFC">
        <w:t xml:space="preserve"> for</w:t>
      </w:r>
      <w:r w:rsidR="00EB50A2">
        <w:t xml:space="preserve"> or use of </w:t>
      </w:r>
      <w:r w:rsidR="00AC2FFC">
        <w:t xml:space="preserve">an </w:t>
      </w:r>
      <w:r w:rsidR="00EB50A2">
        <w:t>accommodation</w:t>
      </w:r>
      <w:r w:rsidRPr="00631438">
        <w:t xml:space="preserve"> played a role in and made an actual difference in the defendant's decision</w:t>
      </w:r>
      <w:r w:rsidRPr="00631438">
        <w:rPr>
          <w:rStyle w:val="FootnoteReference"/>
        </w:rPr>
        <w:footnoteReference w:id="8"/>
      </w:r>
      <w:r w:rsidRPr="00631438">
        <w:t xml:space="preserve"> to [</w:t>
      </w:r>
      <w:r w:rsidRPr="00631438">
        <w:rPr>
          <w:i/>
        </w:rPr>
        <w:t xml:space="preserve">insert </w:t>
      </w:r>
      <w:r w:rsidR="00EB50A2">
        <w:rPr>
          <w:i/>
        </w:rPr>
        <w:t>change to terms, conditions or privileges of employment</w:t>
      </w:r>
      <w:r w:rsidRPr="00631438">
        <w:t xml:space="preserve">].  It is the plaintiff’s burden to prove that it is more likely than not that the defendant </w:t>
      </w:r>
      <w:r w:rsidR="003A4196">
        <w:t>penalized</w:t>
      </w:r>
      <w:r w:rsidRPr="00631438">
        <w:t xml:space="preserve"> </w:t>
      </w:r>
      <w:r w:rsidR="00A96D0D">
        <w:t>plaintiff</w:t>
      </w:r>
      <w:r w:rsidRPr="00631438">
        <w:t xml:space="preserve"> because of the plaintiff’s </w:t>
      </w:r>
      <w:r w:rsidR="00EB50A2">
        <w:t xml:space="preserve">request or use of </w:t>
      </w:r>
      <w:r w:rsidR="00AC2FFC">
        <w:t xml:space="preserve">an </w:t>
      </w:r>
      <w:r w:rsidR="00EB50A2">
        <w:t>accommodation</w:t>
      </w:r>
      <w:r w:rsidRPr="00631438">
        <w:rPr>
          <w:iCs/>
        </w:rPr>
        <w:t>.</w:t>
      </w:r>
      <w:r w:rsidRPr="00631438">
        <w:rPr>
          <w:i/>
          <w:iCs/>
        </w:rPr>
        <w:t xml:space="preserve">  </w:t>
      </w:r>
      <w:r w:rsidRPr="00631438">
        <w:rPr>
          <w:iCs/>
        </w:rPr>
        <w:t xml:space="preserve">That is the </w:t>
      </w:r>
      <w:r w:rsidRPr="00631438">
        <w:t xml:space="preserve">ultimate issue you must decide: did the defendant </w:t>
      </w:r>
      <w:r w:rsidRPr="00631438">
        <w:rPr>
          <w:iCs/>
        </w:rPr>
        <w:t>[</w:t>
      </w:r>
      <w:r w:rsidR="00EB50A2" w:rsidRPr="00631438">
        <w:rPr>
          <w:i/>
        </w:rPr>
        <w:t xml:space="preserve">insert </w:t>
      </w:r>
      <w:r w:rsidR="00EB50A2">
        <w:rPr>
          <w:i/>
        </w:rPr>
        <w:t>change to terms, conditions or privileges of employment</w:t>
      </w:r>
      <w:r w:rsidRPr="00631438">
        <w:rPr>
          <w:iCs/>
        </w:rPr>
        <w:t>]</w:t>
      </w:r>
      <w:r w:rsidRPr="00631438">
        <w:rPr>
          <w:b/>
          <w:bCs/>
        </w:rPr>
        <w:t xml:space="preserve"> </w:t>
      </w:r>
      <w:r w:rsidRPr="00631438">
        <w:t xml:space="preserve">because of the plaintiff’s </w:t>
      </w:r>
      <w:r w:rsidR="00EB50A2">
        <w:t xml:space="preserve">request or use of </w:t>
      </w:r>
      <w:r w:rsidR="00AC2FFC">
        <w:t xml:space="preserve">an </w:t>
      </w:r>
      <w:r w:rsidR="00EB50A2">
        <w:t>accommodation</w:t>
      </w:r>
      <w:r w:rsidRPr="00631438">
        <w:t xml:space="preserve">.  The plaintiff may prove this directly, by proving that a retaliatory reason more likely than not motivated the defendant’s action, or indirectly, by proving that the defendant’s stated reason is not the real reason for </w:t>
      </w:r>
      <w:r w:rsidR="00A96D0D">
        <w:t xml:space="preserve">the </w:t>
      </w:r>
      <w:r w:rsidR="00A96D0D" w:rsidRPr="00631438">
        <w:t>defendant’s action</w:t>
      </w:r>
      <w:r w:rsidRPr="00631438">
        <w:t>.</w:t>
      </w:r>
    </w:p>
    <w:p w14:paraId="42D0B5E8" w14:textId="4B8CC937" w:rsidR="00631438" w:rsidRPr="003A4196" w:rsidRDefault="003A4196" w:rsidP="008970C8">
      <w:pPr>
        <w:widowControl/>
        <w:tabs>
          <w:tab w:val="left" w:pos="-720"/>
          <w:tab w:val="left" w:pos="0"/>
          <w:tab w:val="left" w:pos="720"/>
        </w:tabs>
        <w:spacing w:line="480" w:lineRule="auto"/>
        <w:jc w:val="both"/>
        <w:rPr>
          <w:iCs/>
        </w:rPr>
      </w:pPr>
      <w:r>
        <w:lastRenderedPageBreak/>
        <w:tab/>
      </w:r>
      <w:r w:rsidR="00631438" w:rsidRPr="003A4196">
        <w:t xml:space="preserve">You may find that the defendant had more than one reason or motivation for </w:t>
      </w:r>
      <w:r w:rsidR="00A96D0D" w:rsidRPr="00631438">
        <w:t xml:space="preserve">defendant’s </w:t>
      </w:r>
      <w:r w:rsidR="00631438" w:rsidRPr="003A4196">
        <w:t>actions. For example, you may find that the defendant was motivated both by the plaintiff’s</w:t>
      </w:r>
      <w:r>
        <w:t xml:space="preserve"> request</w:t>
      </w:r>
      <w:r w:rsidR="00AC2FFC">
        <w:t xml:space="preserve"> for</w:t>
      </w:r>
      <w:r>
        <w:t xml:space="preserve"> or use of </w:t>
      </w:r>
      <w:r w:rsidR="00AC2FFC">
        <w:t xml:space="preserve">an </w:t>
      </w:r>
      <w:r>
        <w:t>accommodation</w:t>
      </w:r>
      <w:r w:rsidR="00631438" w:rsidRPr="003A4196">
        <w:rPr>
          <w:i/>
          <w:iCs/>
        </w:rPr>
        <w:t xml:space="preserve"> </w:t>
      </w:r>
      <w:r w:rsidR="00631438" w:rsidRPr="003A4196">
        <w:t>and by other, non-retaliatory factors, such as the plaintiff’s job performance.  To prevail, the plaintiff is not required to prove that</w:t>
      </w:r>
      <w:r>
        <w:t xml:space="preserve"> </w:t>
      </w:r>
      <w:r w:rsidR="00A96D0D">
        <w:t>the</w:t>
      </w:r>
      <w:r w:rsidR="00AC2FFC">
        <w:t xml:space="preserve"> </w:t>
      </w:r>
      <w:r>
        <w:t xml:space="preserve">request </w:t>
      </w:r>
      <w:r w:rsidR="00AC2FFC">
        <w:t xml:space="preserve">for </w:t>
      </w:r>
      <w:r>
        <w:t xml:space="preserve">or use of </w:t>
      </w:r>
      <w:r w:rsidR="00AC2FFC">
        <w:t xml:space="preserve">an </w:t>
      </w:r>
      <w:r>
        <w:t xml:space="preserve">accommodation </w:t>
      </w:r>
      <w:r w:rsidR="00631438" w:rsidRPr="003A4196">
        <w:t xml:space="preserve">was the only reason or motivation for the defendant’s actions.  Rather, the plaintiff must only prove that </w:t>
      </w:r>
      <w:r w:rsidR="00A96D0D">
        <w:t>the</w:t>
      </w:r>
      <w:r>
        <w:t xml:space="preserve"> request </w:t>
      </w:r>
      <w:r w:rsidR="00AC2FFC">
        <w:t xml:space="preserve">for </w:t>
      </w:r>
      <w:r>
        <w:t xml:space="preserve">or use of </w:t>
      </w:r>
      <w:r w:rsidR="00AC2FFC">
        <w:t xml:space="preserve">an </w:t>
      </w:r>
      <w:r>
        <w:t xml:space="preserve">accommodation </w:t>
      </w:r>
      <w:r w:rsidR="00631438" w:rsidRPr="003A4196">
        <w:t>played a role in the decision and that it made an actual difference in the defendant’s decision.</w:t>
      </w:r>
      <w:r w:rsidR="00631438" w:rsidRPr="00631438">
        <w:rPr>
          <w:rStyle w:val="FootnoteReference"/>
        </w:rPr>
        <w:footnoteReference w:id="9"/>
      </w:r>
      <w:r w:rsidR="00631438" w:rsidRPr="003A4196">
        <w:t xml:space="preserve">  If you find that the plaintiff’s</w:t>
      </w:r>
      <w:r>
        <w:t xml:space="preserve"> request </w:t>
      </w:r>
      <w:r w:rsidR="00AC2FFC">
        <w:t xml:space="preserve">for </w:t>
      </w:r>
      <w:r>
        <w:t xml:space="preserve">or use of </w:t>
      </w:r>
      <w:r w:rsidR="00AC2FFC">
        <w:t xml:space="preserve">an </w:t>
      </w:r>
      <w:r>
        <w:t>accommodation</w:t>
      </w:r>
      <w:r w:rsidR="00631438" w:rsidRPr="003A4196">
        <w:rPr>
          <w:iCs/>
        </w:rPr>
        <w:t xml:space="preserve"> did make an actual difference in the defendant’s decision, then you must enter judgment for the plaintiff.  If, however, you find that the defendant would have made the same decision regardless of the plaintiff’s </w:t>
      </w:r>
      <w:r>
        <w:rPr>
          <w:iCs/>
        </w:rPr>
        <w:t xml:space="preserve">request </w:t>
      </w:r>
      <w:r w:rsidR="00AC2FFC">
        <w:rPr>
          <w:iCs/>
        </w:rPr>
        <w:t xml:space="preserve">for </w:t>
      </w:r>
      <w:r>
        <w:rPr>
          <w:iCs/>
        </w:rPr>
        <w:t xml:space="preserve">or use of </w:t>
      </w:r>
      <w:r w:rsidR="00AC2FFC">
        <w:rPr>
          <w:iCs/>
        </w:rPr>
        <w:t xml:space="preserve">an </w:t>
      </w:r>
      <w:r>
        <w:rPr>
          <w:iCs/>
        </w:rPr>
        <w:t>accommodation</w:t>
      </w:r>
      <w:r w:rsidR="00631438" w:rsidRPr="003A4196">
        <w:rPr>
          <w:iCs/>
        </w:rPr>
        <w:t xml:space="preserve">, then you must enter judgment for the defendant. </w:t>
      </w:r>
    </w:p>
    <w:p w14:paraId="5BDF52C1" w14:textId="616A9018" w:rsidR="00631438" w:rsidRPr="003A4196" w:rsidRDefault="003A4196" w:rsidP="008970C8">
      <w:pPr>
        <w:widowControl/>
        <w:tabs>
          <w:tab w:val="left" w:pos="-720"/>
          <w:tab w:val="left" w:pos="0"/>
          <w:tab w:val="left" w:pos="720"/>
        </w:tabs>
        <w:spacing w:line="480" w:lineRule="auto"/>
        <w:jc w:val="both"/>
        <w:rPr>
          <w:iCs/>
        </w:rPr>
      </w:pPr>
      <w:r>
        <w:rPr>
          <w:iCs/>
        </w:rPr>
        <w:tab/>
      </w:r>
      <w:r w:rsidR="00631438" w:rsidRPr="003A4196">
        <w:rPr>
          <w:iCs/>
        </w:rPr>
        <w:t xml:space="preserve">Because direct proof of </w:t>
      </w:r>
      <w:r>
        <w:rPr>
          <w:iCs/>
        </w:rPr>
        <w:t>causation</w:t>
      </w:r>
      <w:r w:rsidR="00631438" w:rsidRPr="003A4196">
        <w:rPr>
          <w:iCs/>
        </w:rPr>
        <w:t xml:space="preserve"> is often not available, the plaintiff is allowed to prove </w:t>
      </w:r>
      <w:r w:rsidR="006D481A" w:rsidRPr="003A4196">
        <w:rPr>
          <w:iCs/>
        </w:rPr>
        <w:t>plaintiff</w:t>
      </w:r>
      <w:r w:rsidR="006D481A">
        <w:rPr>
          <w:iCs/>
        </w:rPr>
        <w:t>’s</w:t>
      </w:r>
      <w:r w:rsidR="006D481A" w:rsidRPr="003A4196">
        <w:rPr>
          <w:iCs/>
        </w:rPr>
        <w:t xml:space="preserve"> </w:t>
      </w:r>
      <w:r>
        <w:rPr>
          <w:iCs/>
        </w:rPr>
        <w:t>case</w:t>
      </w:r>
      <w:r w:rsidR="00631438" w:rsidRPr="003A4196">
        <w:rPr>
          <w:iCs/>
        </w:rPr>
        <w:t xml:space="preserve"> by circumstantial evidence.  In that regard, you are to evaluate whatever indirect evidence </w:t>
      </w:r>
      <w:r>
        <w:rPr>
          <w:iCs/>
        </w:rPr>
        <w:t xml:space="preserve">that defendant changed plaintiff’s terms, conditions or privileges of employment in response to </w:t>
      </w:r>
      <w:r w:rsidR="006D481A">
        <w:rPr>
          <w:iCs/>
        </w:rPr>
        <w:t>the</w:t>
      </w:r>
      <w:r>
        <w:rPr>
          <w:iCs/>
        </w:rPr>
        <w:t xml:space="preserve"> request or use of </w:t>
      </w:r>
      <w:r>
        <w:rPr>
          <w:iCs/>
        </w:rPr>
        <w:lastRenderedPageBreak/>
        <w:t xml:space="preserve">accommodation </w:t>
      </w:r>
      <w:r w:rsidR="00631438" w:rsidRPr="003A4196">
        <w:rPr>
          <w:iCs/>
        </w:rPr>
        <w:t>that you find was presented during the trial.</w:t>
      </w:r>
      <w:r w:rsidR="00631438" w:rsidRPr="003A4196">
        <w:rPr>
          <w:b/>
        </w:rPr>
        <w:t xml:space="preserve"> </w:t>
      </w:r>
      <w:r w:rsidR="00631438" w:rsidRPr="006D481A">
        <w:rPr>
          <w:bCs/>
        </w:rPr>
        <w:t>[</w:t>
      </w:r>
      <w:r w:rsidR="00631438" w:rsidRPr="006D481A">
        <w:rPr>
          <w:bCs/>
          <w:i/>
          <w:iCs/>
        </w:rPr>
        <w:t>The court may refer to specific types of indirect evidence presented during the trial, such as prior conduct and/or comments of the parties, etc.</w:t>
      </w:r>
      <w:r w:rsidR="00631438" w:rsidRPr="006D481A">
        <w:rPr>
          <w:bCs/>
        </w:rPr>
        <w:t>]</w:t>
      </w:r>
    </w:p>
    <w:p w14:paraId="2176AF46" w14:textId="15D886A0" w:rsidR="00631438" w:rsidRPr="003A4196" w:rsidRDefault="00631438" w:rsidP="008970C8">
      <w:pPr>
        <w:widowControl/>
        <w:spacing w:line="480" w:lineRule="auto"/>
        <w:ind w:firstLine="720"/>
        <w:jc w:val="both"/>
      </w:pPr>
      <w:r w:rsidRPr="003A4196">
        <w:t xml:space="preserve">One kind of circumstantial evidence can involve the timing of events, </w:t>
      </w:r>
      <w:r w:rsidRPr="003A4196">
        <w:rPr>
          <w:i/>
        </w:rPr>
        <w:t>i.e.</w:t>
      </w:r>
      <w:r w:rsidRPr="003A4196">
        <w:t>, whether the defendant’s action followed shortly after the defendant became aware of the plaintiff’s</w:t>
      </w:r>
      <w:r w:rsidR="003A4196">
        <w:t xml:space="preserve"> use or request of accommodation</w:t>
      </w:r>
      <w:r w:rsidRPr="003A4196">
        <w:t xml:space="preserve">.  While such timing may be evidence of </w:t>
      </w:r>
      <w:r w:rsidR="003A4196">
        <w:t>causation</w:t>
      </w:r>
      <w:r w:rsidRPr="003A4196">
        <w:t>, it may also be simply coincidental – that is for you to decide.</w:t>
      </w:r>
    </w:p>
    <w:p w14:paraId="612EDF41" w14:textId="520C223D" w:rsidR="00631438" w:rsidRPr="003A4196" w:rsidRDefault="00631438" w:rsidP="008970C8">
      <w:pPr>
        <w:widowControl/>
        <w:spacing w:line="480" w:lineRule="auto"/>
        <w:ind w:firstLine="720"/>
        <w:jc w:val="both"/>
      </w:pPr>
      <w:r w:rsidRPr="003A4196">
        <w:t xml:space="preserve">Another kind of circumstantial evidence might involve evidence that the defendant became antagonistic or otherwise changed </w:t>
      </w:r>
      <w:r w:rsidR="006D481A" w:rsidRPr="003A4196">
        <w:t>defendant</w:t>
      </w:r>
      <w:r w:rsidR="006D481A">
        <w:t>’s</w:t>
      </w:r>
      <w:r w:rsidR="006D481A" w:rsidRPr="003A4196">
        <w:t xml:space="preserve"> </w:t>
      </w:r>
      <w:r w:rsidRPr="003A4196">
        <w:t xml:space="preserve">demeanor toward the plaintiff after the defendant became aware of the plaintiff’s </w:t>
      </w:r>
      <w:r w:rsidR="003A4196">
        <w:t>request or use of accommodation</w:t>
      </w:r>
      <w:r w:rsidRPr="003A4196">
        <w:t xml:space="preserve">.  But again, this may be evidence of </w:t>
      </w:r>
      <w:r w:rsidR="003A4196">
        <w:t>causation</w:t>
      </w:r>
      <w:r w:rsidRPr="003A4196">
        <w:t xml:space="preserve">, or it may have no relationship to </w:t>
      </w:r>
      <w:r w:rsidR="003A4196">
        <w:t>the change in plaintiff’s terms, conditions or privileges of employment</w:t>
      </w:r>
      <w:r w:rsidRPr="003A4196">
        <w:t xml:space="preserve"> at all, but it is for you to decide.</w:t>
      </w:r>
    </w:p>
    <w:p w14:paraId="5E379DBF" w14:textId="6DCC99B5" w:rsidR="00631438" w:rsidRPr="003A4196" w:rsidRDefault="00631438" w:rsidP="008970C8">
      <w:pPr>
        <w:widowControl/>
        <w:spacing w:line="480" w:lineRule="auto"/>
        <w:ind w:firstLine="720"/>
        <w:jc w:val="both"/>
      </w:pPr>
      <w:r w:rsidRPr="003A4196">
        <w:t xml:space="preserve">In addition, you should consider whether the explanation given by the defendant for </w:t>
      </w:r>
      <w:r w:rsidR="006D481A" w:rsidRPr="003A4196">
        <w:t>defendant</w:t>
      </w:r>
      <w:r w:rsidR="006D481A">
        <w:t>’s</w:t>
      </w:r>
      <w:r w:rsidR="006D481A" w:rsidRPr="003A4196">
        <w:t xml:space="preserve"> </w:t>
      </w:r>
      <w:r w:rsidRPr="003A4196">
        <w:t xml:space="preserve">action was the real reason for </w:t>
      </w:r>
      <w:r w:rsidR="006D481A" w:rsidRPr="003A4196">
        <w:t>defendant</w:t>
      </w:r>
      <w:r w:rsidR="006D481A">
        <w:t>’s</w:t>
      </w:r>
      <w:r w:rsidRPr="003A4196">
        <w:t xml:space="preserve"> actions. If you don’t believe the reason given by the defendant is the real reason the defendant </w:t>
      </w:r>
      <w:r w:rsidR="003A4196">
        <w:t xml:space="preserve">changed the plaintiff’s terms, </w:t>
      </w:r>
      <w:proofErr w:type="gramStart"/>
      <w:r w:rsidR="003A4196">
        <w:t>conditions</w:t>
      </w:r>
      <w:proofErr w:type="gramEnd"/>
      <w:r w:rsidR="003A4196">
        <w:t xml:space="preserve"> or privileges of employment</w:t>
      </w:r>
      <w:r w:rsidR="00414934">
        <w:t>,</w:t>
      </w:r>
      <w:r w:rsidRPr="003A4196">
        <w:t xml:space="preserve"> you may </w:t>
      </w:r>
      <w:r w:rsidR="00414934">
        <w:t xml:space="preserve">– </w:t>
      </w:r>
      <w:r w:rsidRPr="003A4196">
        <w:t xml:space="preserve">but are not required to </w:t>
      </w:r>
      <w:r w:rsidR="00414934">
        <w:t xml:space="preserve">– </w:t>
      </w:r>
      <w:r w:rsidRPr="003A4196">
        <w:t>find that the plaintiff has proven</w:t>
      </w:r>
      <w:r w:rsidR="008F2813">
        <w:t xml:space="preserve"> </w:t>
      </w:r>
      <w:r w:rsidR="00801F3E" w:rsidRPr="003A4196">
        <w:t>plaintiff</w:t>
      </w:r>
      <w:r w:rsidR="00801F3E">
        <w:t>’s</w:t>
      </w:r>
      <w:r w:rsidR="00801F3E" w:rsidRPr="003A4196">
        <w:t xml:space="preserve"> </w:t>
      </w:r>
      <w:r w:rsidRPr="003A4196">
        <w:t xml:space="preserve">case.  You are permitted to do so because, if you find the defendant has not told the truth about why </w:t>
      </w:r>
      <w:r w:rsidR="006D481A" w:rsidRPr="003A4196">
        <w:t xml:space="preserve">defendant </w:t>
      </w:r>
      <w:r w:rsidRPr="003A4196">
        <w:t xml:space="preserve">acted, you may conclude that </w:t>
      </w:r>
      <w:r w:rsidR="006D481A" w:rsidRPr="003A4196">
        <w:t xml:space="preserve">defendant </w:t>
      </w:r>
      <w:r w:rsidRPr="003A4196">
        <w:t>is hiding th</w:t>
      </w:r>
      <w:r w:rsidR="003A4196">
        <w:t xml:space="preserve">at plaintiff’s terms, </w:t>
      </w:r>
      <w:r w:rsidR="003A4196">
        <w:lastRenderedPageBreak/>
        <w:t xml:space="preserve">conditions or privileges of employment </w:t>
      </w:r>
      <w:r w:rsidR="006D481A">
        <w:t xml:space="preserve">were changed </w:t>
      </w:r>
      <w:r w:rsidR="003A4196">
        <w:t xml:space="preserve">because </w:t>
      </w:r>
      <w:r w:rsidR="000825CF">
        <w:t xml:space="preserve">plaintiff </w:t>
      </w:r>
      <w:r w:rsidR="003A4196">
        <w:t xml:space="preserve">requested or used </w:t>
      </w:r>
      <w:r w:rsidR="00466EDA">
        <w:t xml:space="preserve">an </w:t>
      </w:r>
      <w:r w:rsidR="003A4196">
        <w:t>accommodation</w:t>
      </w:r>
      <w:r w:rsidRPr="003A4196">
        <w:t xml:space="preserve">.  However, while you are permitted to find </w:t>
      </w:r>
      <w:r w:rsidR="003A4196">
        <w:t>causation</w:t>
      </w:r>
      <w:r w:rsidRPr="003A4196">
        <w:t xml:space="preserve"> based upon your disbelief of the defendant’s stated reasons, you are not required to do so.  This is because you may conclude that the defendant’s stated reason is not the real reason, but that the real reason is something other than </w:t>
      </w:r>
      <w:r w:rsidR="003A4196">
        <w:t>plaintiff’s request or use of accommodation</w:t>
      </w:r>
      <w:r w:rsidRPr="003A4196">
        <w:t>.</w:t>
      </w:r>
    </w:p>
    <w:p w14:paraId="16ABA020" w14:textId="0C96436B" w:rsidR="00631438" w:rsidRPr="003A4196" w:rsidRDefault="00631438" w:rsidP="008970C8">
      <w:pPr>
        <w:widowControl/>
        <w:spacing w:line="480" w:lineRule="auto"/>
        <w:ind w:firstLine="720"/>
        <w:jc w:val="both"/>
        <w:rPr>
          <w:i/>
          <w:iCs/>
        </w:rPr>
      </w:pPr>
      <w:r w:rsidRPr="003A4196">
        <w:t xml:space="preserve">The plaintiff at all times bears the ultimate burden of proving to you that it is more likely than not that the defendant </w:t>
      </w:r>
      <w:r w:rsidR="003A4196">
        <w:t xml:space="preserve">penalized </w:t>
      </w:r>
      <w:r w:rsidR="00466EDA">
        <w:t>plaintiff</w:t>
      </w:r>
      <w:r w:rsidR="003A4196">
        <w:t xml:space="preserve"> for requesting or using accommodation of pregnancy or breas</w:t>
      </w:r>
      <w:r w:rsidR="005A7BC3">
        <w:t>t</w:t>
      </w:r>
      <w:r w:rsidR="003A4196">
        <w:t>feeding</w:t>
      </w:r>
      <w:r w:rsidRPr="003A4196">
        <w:t xml:space="preserve">.  To decide whether the plaintiff has proven </w:t>
      </w:r>
      <w:r w:rsidR="00466EDA" w:rsidRPr="003A4196">
        <w:t>plaintiff</w:t>
      </w:r>
      <w:r w:rsidR="00466EDA">
        <w:t>’s</w:t>
      </w:r>
      <w:r w:rsidR="00466EDA" w:rsidRPr="003A4196">
        <w:t xml:space="preserve"> </w:t>
      </w:r>
      <w:r w:rsidR="005A7BC3">
        <w:t>claim</w:t>
      </w:r>
      <w:r w:rsidRPr="003A4196">
        <w:t>, you should consider all of the evidence presented by the parties, using the guidelines I gave in the beginning of my instructions regarding evaluating evidence generally, such as weighing the credibility of witnesses</w:t>
      </w:r>
      <w:r w:rsidRPr="00466EDA">
        <w:t>.</w:t>
      </w:r>
      <w:r w:rsidRPr="00466EDA">
        <w:rPr>
          <w:iCs/>
        </w:rPr>
        <w:t xml:space="preserve"> [</w:t>
      </w:r>
      <w:r w:rsidRPr="00466EDA">
        <w:rPr>
          <w:i/>
        </w:rPr>
        <w:t>The court should refer to any other general instructions where appropriate</w:t>
      </w:r>
      <w:r w:rsidRPr="00466EDA">
        <w:rPr>
          <w:iCs/>
        </w:rPr>
        <w:t>.]</w:t>
      </w:r>
      <w:r w:rsidRPr="003A4196">
        <w:t xml:space="preserve">  Keep in mind that in reaching your determination of whether the defendant </w:t>
      </w:r>
      <w:r w:rsidR="005A7BC3">
        <w:t>penalized plaintiff for requesting or using accommodation</w:t>
      </w:r>
      <w:r w:rsidRPr="003A4196">
        <w:t>, you are instructed that the defendant’s actions and business practices need not be fair, wise, reasonable, moral or even right, so long as the plaintiff’s</w:t>
      </w:r>
      <w:r w:rsidR="005A7BC3">
        <w:t xml:space="preserve"> request or use of accommodation</w:t>
      </w:r>
      <w:r w:rsidRPr="003A4196">
        <w:t xml:space="preserve"> did not play a role and make an actual difference in the defendant’s decision to </w:t>
      </w:r>
      <w:r w:rsidRPr="003A4196">
        <w:rPr>
          <w:iCs/>
        </w:rPr>
        <w:t>[</w:t>
      </w:r>
      <w:r w:rsidR="005A7BC3" w:rsidRPr="00631438">
        <w:rPr>
          <w:i/>
        </w:rPr>
        <w:t xml:space="preserve">insert </w:t>
      </w:r>
      <w:r w:rsidR="005A7BC3">
        <w:rPr>
          <w:i/>
        </w:rPr>
        <w:t>change to terms, conditions or privileges of employment</w:t>
      </w:r>
      <w:r w:rsidRPr="003A4196">
        <w:rPr>
          <w:iCs/>
        </w:rPr>
        <w:t>].</w:t>
      </w:r>
    </w:p>
    <w:p w14:paraId="512AA924" w14:textId="0ACCBC15" w:rsidR="00631438" w:rsidRPr="005A7BC3" w:rsidRDefault="00631438" w:rsidP="008970C8">
      <w:pPr>
        <w:widowControl/>
        <w:spacing w:line="480" w:lineRule="auto"/>
        <w:ind w:firstLine="720"/>
        <w:jc w:val="both"/>
      </w:pPr>
      <w:r w:rsidRPr="005A7BC3">
        <w:lastRenderedPageBreak/>
        <w:t xml:space="preserve">I remind you that the ultimate issue you must decide is whether the defendant </w:t>
      </w:r>
      <w:r w:rsidR="005A7BC3">
        <w:t>penalized</w:t>
      </w:r>
      <w:r w:rsidRPr="005A7BC3">
        <w:t xml:space="preserve"> the plaintiff</w:t>
      </w:r>
      <w:r w:rsidR="005A7BC3">
        <w:t xml:space="preserve"> for requesting or using accommodation</w:t>
      </w:r>
      <w:r w:rsidRPr="005A7BC3">
        <w:t xml:space="preserve"> by </w:t>
      </w:r>
      <w:r w:rsidRPr="005A7BC3">
        <w:rPr>
          <w:iCs/>
        </w:rPr>
        <w:t>[</w:t>
      </w:r>
      <w:r w:rsidR="005A7BC3" w:rsidRPr="00631438">
        <w:rPr>
          <w:i/>
        </w:rPr>
        <w:t xml:space="preserve">insert </w:t>
      </w:r>
      <w:r w:rsidR="005A7BC3">
        <w:rPr>
          <w:i/>
        </w:rPr>
        <w:t>change to terms, conditions or privileges of employment</w:t>
      </w:r>
      <w:r w:rsidRPr="005A7BC3">
        <w:rPr>
          <w:iCs/>
        </w:rPr>
        <w:t>]</w:t>
      </w:r>
      <w:r w:rsidRPr="005A7BC3">
        <w:t xml:space="preserve">, and that the plaintiff has the burden to prove </w:t>
      </w:r>
      <w:r w:rsidR="005A7BC3">
        <w:t xml:space="preserve">the elements of </w:t>
      </w:r>
      <w:r w:rsidR="00466EDA">
        <w:t>the</w:t>
      </w:r>
      <w:r w:rsidR="005A7BC3">
        <w:t xml:space="preserve"> claim</w:t>
      </w:r>
      <w:r w:rsidRPr="005A7BC3">
        <w:t>.</w:t>
      </w:r>
    </w:p>
    <w:p w14:paraId="2AB0054F" w14:textId="5D319F3A" w:rsidR="00525074" w:rsidRPr="00811451" w:rsidRDefault="002C2902" w:rsidP="00414934">
      <w:pPr>
        <w:pStyle w:val="BodyTextIndent2"/>
        <w:widowControl/>
        <w:tabs>
          <w:tab w:val="clear" w:pos="-720"/>
          <w:tab w:val="clear" w:pos="0"/>
          <w:tab w:val="clear" w:pos="720"/>
        </w:tabs>
        <w:spacing w:line="480" w:lineRule="auto"/>
        <w:ind w:left="0" w:firstLine="0"/>
      </w:pPr>
      <w:r w:rsidRPr="00811451">
        <w:tab/>
      </w:r>
      <w:r w:rsidR="005441D0" w:rsidRPr="00811451">
        <w:t>In summary</w:t>
      </w:r>
      <w:r w:rsidR="006D1234" w:rsidRPr="00811451">
        <w:t xml:space="preserve">, to win on </w:t>
      </w:r>
      <w:r w:rsidR="00466EDA">
        <w:t>the</w:t>
      </w:r>
      <w:r w:rsidR="006D1234" w:rsidRPr="00811451">
        <w:t xml:space="preserve"> claim, plaintiff must prove that it is more likely than not that (1) </w:t>
      </w:r>
      <w:r w:rsidR="00735E80" w:rsidRPr="00811451">
        <w:t>plaintiff</w:t>
      </w:r>
      <w:r w:rsidR="00735E80">
        <w:t xml:space="preserve">’s </w:t>
      </w:r>
      <w:r w:rsidR="009A4D69">
        <w:t xml:space="preserve">employer knew or should have known that </w:t>
      </w:r>
      <w:r w:rsidR="00466EDA">
        <w:t>plaintiff</w:t>
      </w:r>
      <w:r w:rsidR="009A4D69">
        <w:t xml:space="preserve"> was affected by pregnancy or breastfeeding</w:t>
      </w:r>
      <w:r w:rsidR="006D1234" w:rsidRPr="00811451">
        <w:t>; (2)</w:t>
      </w:r>
      <w:r w:rsidR="009A4D69">
        <w:t xml:space="preserve"> </w:t>
      </w:r>
      <w:r w:rsidR="00F1150E">
        <w:t xml:space="preserve">based on the advice of </w:t>
      </w:r>
      <w:r w:rsidR="00735E80" w:rsidRPr="00811451">
        <w:t>plaintiff</w:t>
      </w:r>
      <w:r w:rsidR="00735E80">
        <w:t xml:space="preserve">’s </w:t>
      </w:r>
      <w:r w:rsidR="00F1150E">
        <w:t xml:space="preserve">physician, </w:t>
      </w:r>
      <w:r w:rsidR="00466EDA">
        <w:t>plaintiff</w:t>
      </w:r>
      <w:r w:rsidR="00F1150E">
        <w:t xml:space="preserve"> requested or used an accommodation of needs related to pregnancy or breastfeeding, and that </w:t>
      </w:r>
      <w:r w:rsidR="000E5B0A">
        <w:t>the defendant was aware of such request or use of an accommodation</w:t>
      </w:r>
      <w:r w:rsidR="006D1234" w:rsidRPr="00811451">
        <w:t>; (</w:t>
      </w:r>
      <w:r w:rsidR="000E5B0A">
        <w:t>3</w:t>
      </w:r>
      <w:r w:rsidR="006D1234" w:rsidRPr="00811451">
        <w:t>)</w:t>
      </w:r>
      <w:r w:rsidR="009A4D69" w:rsidRPr="00811451">
        <w:t xml:space="preserve"> </w:t>
      </w:r>
      <w:r w:rsidR="004E1E68">
        <w:t>the</w:t>
      </w:r>
      <w:r w:rsidR="009A4D69" w:rsidRPr="00811451">
        <w:t xml:space="preserve"> </w:t>
      </w:r>
      <w:r w:rsidR="009A4D69">
        <w:t xml:space="preserve">defendant changed, in any way, one or more of the terms, conditions or privileges of </w:t>
      </w:r>
      <w:r w:rsidR="00466EDA">
        <w:t>plaintiff’s</w:t>
      </w:r>
      <w:r w:rsidR="009A4D69">
        <w:t xml:space="preserve"> employment after defendant became aware of </w:t>
      </w:r>
      <w:r w:rsidR="00466EDA">
        <w:t>the</w:t>
      </w:r>
      <w:r w:rsidR="009A4D69">
        <w:t xml:space="preserve"> request or use of an accommodation </w:t>
      </w:r>
      <w:r w:rsidR="004E1E68">
        <w:t xml:space="preserve">to </w:t>
      </w:r>
      <w:r w:rsidR="00942C14">
        <w:t>plaintiff’s</w:t>
      </w:r>
      <w:r w:rsidR="004E1E68">
        <w:t xml:space="preserve"> detriment</w:t>
      </w:r>
      <w:r w:rsidR="009A4D69">
        <w:t xml:space="preserve"> and (</w:t>
      </w:r>
      <w:r w:rsidR="000E5B0A">
        <w:t>4</w:t>
      </w:r>
      <w:r w:rsidR="009A4D69">
        <w:t xml:space="preserve">) plaintiff must prove a causal connection between </w:t>
      </w:r>
      <w:r w:rsidR="00942C14">
        <w:t>the</w:t>
      </w:r>
      <w:r w:rsidR="009A4D69">
        <w:t xml:space="preserve"> request or use of the accommodation and defendant’s decision to change the terms, conditions or privileges of </w:t>
      </w:r>
      <w:r w:rsidR="00942C14">
        <w:t xml:space="preserve">plaintiff’s </w:t>
      </w:r>
      <w:r w:rsidR="009A4D69">
        <w:t>employment</w:t>
      </w:r>
      <w:r w:rsidR="00A3056B" w:rsidRPr="00811451">
        <w:t xml:space="preserve">. </w:t>
      </w:r>
      <w:r w:rsidR="00434F0A" w:rsidRPr="00811451">
        <w:t xml:space="preserve"> </w:t>
      </w:r>
      <w:r w:rsidR="009A4D69">
        <w:t xml:space="preserve">If you find that plaintiff has proven these elements by a preponderance of the evidence, you must render a verdict in favor of plaintiff. </w:t>
      </w:r>
      <w:r w:rsidR="005441D0" w:rsidRPr="00811451">
        <w:t xml:space="preserve">If you find that plaintiff failed to prove any of these elements by a preponderance of the evidence, </w:t>
      </w:r>
      <w:r w:rsidR="009A4D69">
        <w:t xml:space="preserve">or defendant has proven by a preponderance of the evidence that maintaining plaintiff’s terms, conditions and privileges of employment would have imposed an undue burden on it, </w:t>
      </w:r>
      <w:r w:rsidR="005441D0" w:rsidRPr="00811451">
        <w:t>you must render a verdict in favor of defendant.</w:t>
      </w:r>
      <w:r w:rsidR="004779B4" w:rsidRPr="00811451">
        <w:t xml:space="preserve"> </w:t>
      </w:r>
    </w:p>
    <w:sectPr w:rsidR="00525074" w:rsidRPr="00811451" w:rsidSect="00CC409D">
      <w:headerReference w:type="default" r:id="rId8"/>
      <w:endnotePr>
        <w:numFmt w:val="decimal"/>
      </w:endnotePr>
      <w:type w:val="continuous"/>
      <w:pgSz w:w="12240" w:h="15840" w:code="1"/>
      <w:pgMar w:top="1008" w:right="1440" w:bottom="1440" w:left="1440"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025BE" w14:textId="77777777" w:rsidR="00EA5382" w:rsidRDefault="00EA5382">
      <w:pPr>
        <w:widowControl/>
        <w:spacing w:line="20" w:lineRule="exact"/>
        <w:rPr>
          <w:sz w:val="20"/>
          <w:szCs w:val="24"/>
        </w:rPr>
      </w:pPr>
    </w:p>
  </w:endnote>
  <w:endnote w:type="continuationSeparator" w:id="0">
    <w:p w14:paraId="1F70E820" w14:textId="77777777" w:rsidR="00EA5382" w:rsidRDefault="00EA5382">
      <w:r>
        <w:rPr>
          <w:sz w:val="20"/>
          <w:szCs w:val="24"/>
        </w:rPr>
        <w:t xml:space="preserve"> </w:t>
      </w:r>
    </w:p>
  </w:endnote>
  <w:endnote w:type="continuationNotice" w:id="1">
    <w:p w14:paraId="2BF1E518" w14:textId="77777777" w:rsidR="00EA5382" w:rsidRDefault="00EA5382">
      <w:r>
        <w:rPr>
          <w:sz w:val="20"/>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863F" w14:textId="77777777" w:rsidR="00EA5382" w:rsidRDefault="00EA5382">
      <w:r>
        <w:rPr>
          <w:sz w:val="20"/>
          <w:szCs w:val="24"/>
        </w:rPr>
        <w:separator/>
      </w:r>
    </w:p>
  </w:footnote>
  <w:footnote w:type="continuationSeparator" w:id="0">
    <w:p w14:paraId="7C46B47D" w14:textId="77777777" w:rsidR="00EA5382" w:rsidRDefault="00EA5382">
      <w:r>
        <w:continuationSeparator/>
      </w:r>
    </w:p>
  </w:footnote>
  <w:footnote w:id="1">
    <w:p w14:paraId="5AD194D5" w14:textId="14B8CF8A" w:rsidR="00BC18E9" w:rsidRDefault="00BC18E9">
      <w:pPr>
        <w:pStyle w:val="FootnoteText"/>
        <w:rPr>
          <w:sz w:val="24"/>
        </w:rPr>
      </w:pPr>
      <w:r>
        <w:rPr>
          <w:rStyle w:val="FootnoteReference"/>
        </w:rPr>
        <w:footnoteRef/>
      </w:r>
      <w:r>
        <w:t xml:space="preserve"> </w:t>
      </w:r>
      <w:r w:rsidRPr="00BC18E9">
        <w:rPr>
          <w:sz w:val="24"/>
        </w:rPr>
        <w:t xml:space="preserve"> </w:t>
      </w:r>
      <w:r w:rsidRPr="00BC18E9">
        <w:rPr>
          <w:i/>
          <w:iCs/>
          <w:sz w:val="24"/>
        </w:rPr>
        <w:t xml:space="preserve">See </w:t>
      </w:r>
      <w:proofErr w:type="spellStart"/>
      <w:r w:rsidRPr="00BC18E9">
        <w:rPr>
          <w:i/>
          <w:iCs/>
          <w:sz w:val="24"/>
        </w:rPr>
        <w:t>Delanoy</w:t>
      </w:r>
      <w:proofErr w:type="spellEnd"/>
      <w:r w:rsidRPr="00BC18E9">
        <w:rPr>
          <w:i/>
          <w:iCs/>
          <w:sz w:val="24"/>
        </w:rPr>
        <w:t xml:space="preserve"> v. Township of Ocean</w:t>
      </w:r>
      <w:r w:rsidRPr="00BC18E9">
        <w:rPr>
          <w:sz w:val="24"/>
        </w:rPr>
        <w:t xml:space="preserve">, 245 </w:t>
      </w:r>
      <w:r w:rsidRPr="00BC18E9">
        <w:rPr>
          <w:i/>
          <w:iCs/>
          <w:sz w:val="24"/>
        </w:rPr>
        <w:t>N.J.</w:t>
      </w:r>
      <w:r w:rsidRPr="00BC18E9">
        <w:rPr>
          <w:sz w:val="24"/>
        </w:rPr>
        <w:t xml:space="preserve"> 384, 410-412 (2021)</w:t>
      </w:r>
      <w:r>
        <w:rPr>
          <w:sz w:val="24"/>
        </w:rPr>
        <w:t>.</w:t>
      </w:r>
    </w:p>
    <w:p w14:paraId="10FE98CF" w14:textId="77777777" w:rsidR="008970C8" w:rsidRPr="00BC18E9" w:rsidRDefault="008970C8">
      <w:pPr>
        <w:pStyle w:val="FootnoteText"/>
        <w:rPr>
          <w:sz w:val="24"/>
        </w:rPr>
      </w:pPr>
    </w:p>
  </w:footnote>
  <w:footnote w:id="2">
    <w:p w14:paraId="2C80DEC9" w14:textId="1238EF1B" w:rsidR="007E3174" w:rsidRDefault="007E3174" w:rsidP="00802D4C">
      <w:pPr>
        <w:pStyle w:val="FootnoteText"/>
        <w:tabs>
          <w:tab w:val="left" w:pos="180"/>
        </w:tabs>
        <w:jc w:val="both"/>
        <w:rPr>
          <w:sz w:val="24"/>
        </w:rPr>
      </w:pPr>
      <w:r w:rsidRPr="00802D4C">
        <w:rPr>
          <w:rStyle w:val="FootnoteReference"/>
          <w:sz w:val="24"/>
        </w:rPr>
        <w:footnoteRef/>
      </w:r>
      <w:r w:rsidRPr="00802D4C">
        <w:rPr>
          <w:sz w:val="24"/>
        </w:rPr>
        <w:t xml:space="preserve"> </w:t>
      </w:r>
      <w:r w:rsidR="00735E80" w:rsidRPr="00802D4C">
        <w:rPr>
          <w:sz w:val="24"/>
        </w:rPr>
        <w:tab/>
      </w:r>
      <w:r w:rsidRPr="00802D4C">
        <w:rPr>
          <w:i/>
          <w:iCs/>
          <w:sz w:val="24"/>
        </w:rPr>
        <w:t>N.J.S.A.</w:t>
      </w:r>
      <w:r w:rsidRPr="00802D4C">
        <w:rPr>
          <w:sz w:val="24"/>
        </w:rPr>
        <w:t xml:space="preserve"> 10:5-12</w:t>
      </w:r>
      <w:r w:rsidR="00070715">
        <w:rPr>
          <w:sz w:val="24"/>
        </w:rPr>
        <w:t>(</w:t>
      </w:r>
      <w:r w:rsidRPr="00802D4C">
        <w:rPr>
          <w:sz w:val="24"/>
        </w:rPr>
        <w:t>s</w:t>
      </w:r>
      <w:r w:rsidR="00070715">
        <w:rPr>
          <w:sz w:val="24"/>
        </w:rPr>
        <w:t>)</w:t>
      </w:r>
      <w:r w:rsidRPr="00802D4C">
        <w:rPr>
          <w:sz w:val="24"/>
        </w:rPr>
        <w:t>.</w:t>
      </w:r>
    </w:p>
    <w:p w14:paraId="2D39913D" w14:textId="77777777" w:rsidR="008970C8" w:rsidRPr="00802D4C" w:rsidRDefault="008970C8" w:rsidP="00802D4C">
      <w:pPr>
        <w:pStyle w:val="FootnoteText"/>
        <w:tabs>
          <w:tab w:val="left" w:pos="180"/>
        </w:tabs>
        <w:jc w:val="both"/>
        <w:rPr>
          <w:sz w:val="24"/>
        </w:rPr>
      </w:pPr>
    </w:p>
  </w:footnote>
  <w:footnote w:id="3">
    <w:p w14:paraId="15523292" w14:textId="14858E01" w:rsidR="002B1077" w:rsidRDefault="002B1077" w:rsidP="00802D4C">
      <w:pPr>
        <w:pStyle w:val="FootnoteText"/>
        <w:tabs>
          <w:tab w:val="left" w:pos="180"/>
        </w:tabs>
        <w:jc w:val="both"/>
        <w:rPr>
          <w:sz w:val="24"/>
        </w:rPr>
      </w:pPr>
      <w:r w:rsidRPr="00802D4C">
        <w:rPr>
          <w:rStyle w:val="FootnoteReference"/>
          <w:sz w:val="24"/>
        </w:rPr>
        <w:footnoteRef/>
      </w:r>
      <w:r w:rsidRPr="00802D4C">
        <w:rPr>
          <w:sz w:val="24"/>
        </w:rPr>
        <w:t xml:space="preserve"> </w:t>
      </w:r>
      <w:r w:rsidR="00735E80" w:rsidRPr="00802D4C">
        <w:rPr>
          <w:sz w:val="24"/>
        </w:rPr>
        <w:tab/>
      </w:r>
      <w:r w:rsidRPr="00802D4C">
        <w:rPr>
          <w:sz w:val="24"/>
        </w:rPr>
        <w:t>When the protected conduct involves requesting or using a</w:t>
      </w:r>
      <w:r w:rsidR="007E3174" w:rsidRPr="00802D4C">
        <w:rPr>
          <w:sz w:val="24"/>
        </w:rPr>
        <w:t>n accommodation related to breastfee</w:t>
      </w:r>
      <w:r w:rsidR="00064229" w:rsidRPr="00802D4C">
        <w:rPr>
          <w:sz w:val="24"/>
        </w:rPr>
        <w:t>d</w:t>
      </w:r>
      <w:r w:rsidR="007E3174" w:rsidRPr="00802D4C">
        <w:rPr>
          <w:sz w:val="24"/>
        </w:rPr>
        <w:t>ing</w:t>
      </w:r>
      <w:r w:rsidR="007D1765" w:rsidRPr="00802D4C">
        <w:rPr>
          <w:sz w:val="24"/>
        </w:rPr>
        <w:t xml:space="preserve">, the plaintiff need not show that </w:t>
      </w:r>
      <w:r w:rsidR="00802D4C" w:rsidRPr="00802D4C">
        <w:rPr>
          <w:sz w:val="24"/>
        </w:rPr>
        <w:t xml:space="preserve">plaintiff </w:t>
      </w:r>
      <w:r w:rsidR="007D1765" w:rsidRPr="00802D4C">
        <w:rPr>
          <w:sz w:val="24"/>
        </w:rPr>
        <w:t xml:space="preserve">was acting on the advice of </w:t>
      </w:r>
      <w:r w:rsidR="000B4F1C">
        <w:rPr>
          <w:sz w:val="24"/>
        </w:rPr>
        <w:t>a</w:t>
      </w:r>
      <w:r w:rsidR="00802D4C" w:rsidRPr="00802D4C">
        <w:rPr>
          <w:sz w:val="24"/>
        </w:rPr>
        <w:t xml:space="preserve"> </w:t>
      </w:r>
      <w:r w:rsidR="007D1765" w:rsidRPr="00802D4C">
        <w:rPr>
          <w:sz w:val="24"/>
        </w:rPr>
        <w:t xml:space="preserve">physician. </w:t>
      </w:r>
    </w:p>
    <w:p w14:paraId="62A582B8" w14:textId="77777777" w:rsidR="008970C8" w:rsidRPr="00802D4C" w:rsidRDefault="008970C8" w:rsidP="00802D4C">
      <w:pPr>
        <w:pStyle w:val="FootnoteText"/>
        <w:tabs>
          <w:tab w:val="left" w:pos="180"/>
        </w:tabs>
        <w:jc w:val="both"/>
        <w:rPr>
          <w:sz w:val="24"/>
        </w:rPr>
      </w:pPr>
    </w:p>
  </w:footnote>
  <w:footnote w:id="4">
    <w:p w14:paraId="47132F64" w14:textId="4383C452" w:rsidR="00811451" w:rsidRPr="00802D4C" w:rsidRDefault="005441D0" w:rsidP="00802D4C">
      <w:pPr>
        <w:pStyle w:val="FootnoteText"/>
        <w:tabs>
          <w:tab w:val="left" w:pos="180"/>
        </w:tabs>
        <w:jc w:val="both"/>
        <w:rPr>
          <w:sz w:val="24"/>
        </w:rPr>
      </w:pPr>
      <w:r w:rsidRPr="00802D4C">
        <w:rPr>
          <w:rStyle w:val="FootnoteReference"/>
          <w:sz w:val="24"/>
        </w:rPr>
        <w:footnoteRef/>
      </w:r>
      <w:r w:rsidR="00735E80" w:rsidRPr="00802D4C">
        <w:rPr>
          <w:i/>
          <w:sz w:val="24"/>
        </w:rPr>
        <w:t xml:space="preserve"> </w:t>
      </w:r>
      <w:r w:rsidR="00735E80" w:rsidRPr="00802D4C">
        <w:rPr>
          <w:i/>
          <w:sz w:val="24"/>
        </w:rPr>
        <w:tab/>
      </w:r>
      <w:r w:rsidRPr="00802D4C">
        <w:rPr>
          <w:i/>
          <w:sz w:val="24"/>
        </w:rPr>
        <w:t>Tynan v. Vicinage 13 of Superior Court of New Jersey</w:t>
      </w:r>
      <w:r w:rsidRPr="00802D4C">
        <w:rPr>
          <w:sz w:val="24"/>
        </w:rPr>
        <w:t xml:space="preserve">, 351 </w:t>
      </w:r>
      <w:r w:rsidRPr="00802D4C">
        <w:rPr>
          <w:i/>
          <w:sz w:val="24"/>
        </w:rPr>
        <w:t>N.J. Super</w:t>
      </w:r>
      <w:r w:rsidRPr="00802D4C">
        <w:rPr>
          <w:sz w:val="24"/>
        </w:rPr>
        <w:t>. 385, 400 (App. Div. 2002)</w:t>
      </w:r>
      <w:r w:rsidR="009A40C4" w:rsidRPr="00802D4C">
        <w:rPr>
          <w:sz w:val="24"/>
        </w:rPr>
        <w:t xml:space="preserve">, </w:t>
      </w:r>
      <w:r w:rsidR="009A40C4" w:rsidRPr="00802D4C">
        <w:rPr>
          <w:i/>
          <w:sz w:val="24"/>
        </w:rPr>
        <w:t>certif. denied</w:t>
      </w:r>
      <w:r w:rsidR="009A40C4" w:rsidRPr="00802D4C">
        <w:rPr>
          <w:sz w:val="24"/>
        </w:rPr>
        <w:t xml:space="preserve">, 183 </w:t>
      </w:r>
      <w:r w:rsidR="009A40C4" w:rsidRPr="00802D4C">
        <w:rPr>
          <w:i/>
          <w:sz w:val="24"/>
        </w:rPr>
        <w:t>N.J</w:t>
      </w:r>
      <w:r w:rsidR="009A40C4" w:rsidRPr="00802D4C">
        <w:rPr>
          <w:sz w:val="24"/>
        </w:rPr>
        <w:t>. 215 (2005)</w:t>
      </w:r>
      <w:r w:rsidRPr="00802D4C">
        <w:rPr>
          <w:sz w:val="24"/>
        </w:rPr>
        <w:t>.</w:t>
      </w:r>
    </w:p>
  </w:footnote>
  <w:footnote w:id="5">
    <w:p w14:paraId="687AB495" w14:textId="0294BC31" w:rsidR="005441D0" w:rsidRDefault="005441D0" w:rsidP="00802D4C">
      <w:pPr>
        <w:pStyle w:val="FootnoteText"/>
        <w:tabs>
          <w:tab w:val="left" w:pos="180"/>
        </w:tabs>
        <w:jc w:val="both"/>
        <w:rPr>
          <w:sz w:val="24"/>
        </w:rPr>
      </w:pPr>
      <w:r w:rsidRPr="00802D4C">
        <w:rPr>
          <w:rStyle w:val="FootnoteReference"/>
          <w:sz w:val="24"/>
        </w:rPr>
        <w:footnoteRef/>
      </w:r>
      <w:r w:rsidRPr="00802D4C">
        <w:rPr>
          <w:sz w:val="24"/>
        </w:rPr>
        <w:t xml:space="preserve"> </w:t>
      </w:r>
      <w:r w:rsidR="00735E80" w:rsidRPr="00802D4C">
        <w:rPr>
          <w:sz w:val="24"/>
        </w:rPr>
        <w:tab/>
      </w:r>
      <w:r w:rsidRPr="00802D4C">
        <w:rPr>
          <w:i/>
          <w:sz w:val="24"/>
        </w:rPr>
        <w:t>Ibid</w:t>
      </w:r>
      <w:r w:rsidRPr="00802D4C">
        <w:rPr>
          <w:sz w:val="24"/>
        </w:rPr>
        <w:t>.</w:t>
      </w:r>
    </w:p>
    <w:p w14:paraId="1F045422" w14:textId="77777777" w:rsidR="008970C8" w:rsidRPr="0031187B" w:rsidRDefault="008970C8" w:rsidP="00802D4C">
      <w:pPr>
        <w:pStyle w:val="FootnoteText"/>
        <w:tabs>
          <w:tab w:val="left" w:pos="180"/>
        </w:tabs>
        <w:jc w:val="both"/>
        <w:rPr>
          <w:sz w:val="24"/>
        </w:rPr>
      </w:pPr>
    </w:p>
  </w:footnote>
  <w:footnote w:id="6">
    <w:p w14:paraId="466EB3B0" w14:textId="656924C7" w:rsidR="005441D0" w:rsidRPr="0031187B" w:rsidRDefault="005441D0" w:rsidP="001D336F">
      <w:pPr>
        <w:pStyle w:val="FootnoteText"/>
        <w:tabs>
          <w:tab w:val="left" w:pos="180"/>
        </w:tabs>
        <w:jc w:val="both"/>
        <w:rPr>
          <w:sz w:val="24"/>
        </w:rPr>
      </w:pPr>
      <w:r w:rsidRPr="0031187B">
        <w:rPr>
          <w:rStyle w:val="FootnoteReference"/>
          <w:sz w:val="24"/>
        </w:rPr>
        <w:footnoteRef/>
      </w:r>
      <w:r w:rsidR="001D336F">
        <w:rPr>
          <w:sz w:val="24"/>
        </w:rPr>
        <w:t xml:space="preserve"> </w:t>
      </w:r>
      <w:r w:rsidR="001D336F">
        <w:rPr>
          <w:sz w:val="24"/>
        </w:rPr>
        <w:tab/>
      </w:r>
      <w:r w:rsidRPr="0031187B">
        <w:rPr>
          <w:i/>
          <w:sz w:val="24"/>
        </w:rPr>
        <w:t>Ibid</w:t>
      </w:r>
      <w:r w:rsidRPr="0031187B">
        <w:rPr>
          <w:sz w:val="24"/>
        </w:rPr>
        <w:t>.</w:t>
      </w:r>
    </w:p>
    <w:p w14:paraId="092497B2" w14:textId="77777777" w:rsidR="00811451" w:rsidRPr="0031187B" w:rsidRDefault="00811451" w:rsidP="00056B6A">
      <w:pPr>
        <w:pStyle w:val="FootnoteText"/>
        <w:jc w:val="both"/>
        <w:rPr>
          <w:sz w:val="24"/>
          <w:u w:val="single"/>
        </w:rPr>
      </w:pPr>
    </w:p>
  </w:footnote>
  <w:footnote w:id="7">
    <w:p w14:paraId="3D4D7A9E" w14:textId="4A989093" w:rsidR="00BC18E9" w:rsidRPr="00BC18E9" w:rsidRDefault="00BC18E9">
      <w:pPr>
        <w:pStyle w:val="FootnoteText"/>
        <w:rPr>
          <w:sz w:val="24"/>
        </w:rPr>
      </w:pPr>
      <w:r w:rsidRPr="00BC18E9">
        <w:rPr>
          <w:rStyle w:val="FootnoteReference"/>
          <w:sz w:val="24"/>
        </w:rPr>
        <w:footnoteRef/>
      </w:r>
      <w:r w:rsidRPr="00BC18E9">
        <w:rPr>
          <w:sz w:val="24"/>
        </w:rPr>
        <w:t xml:space="preserve"> </w:t>
      </w:r>
      <w:r w:rsidRPr="00BC18E9">
        <w:rPr>
          <w:i/>
          <w:iCs/>
          <w:sz w:val="24"/>
        </w:rPr>
        <w:t xml:space="preserve">See </w:t>
      </w:r>
      <w:proofErr w:type="spellStart"/>
      <w:r w:rsidRPr="00BC18E9">
        <w:rPr>
          <w:i/>
          <w:iCs/>
          <w:sz w:val="24"/>
        </w:rPr>
        <w:t>Delanoy</w:t>
      </w:r>
      <w:proofErr w:type="spellEnd"/>
      <w:r w:rsidRPr="00BC18E9">
        <w:rPr>
          <w:sz w:val="24"/>
        </w:rPr>
        <w:t xml:space="preserve">, 245 </w:t>
      </w:r>
      <w:r w:rsidRPr="00BC18E9">
        <w:rPr>
          <w:i/>
          <w:iCs/>
          <w:sz w:val="24"/>
        </w:rPr>
        <w:t>N.J.</w:t>
      </w:r>
      <w:r w:rsidRPr="00BC18E9">
        <w:rPr>
          <w:sz w:val="24"/>
        </w:rPr>
        <w:t xml:space="preserve"> </w:t>
      </w:r>
      <w:r w:rsidR="008970C8">
        <w:rPr>
          <w:sz w:val="24"/>
        </w:rPr>
        <w:t xml:space="preserve">at </w:t>
      </w:r>
      <w:r w:rsidRPr="00BC18E9">
        <w:rPr>
          <w:sz w:val="24"/>
        </w:rPr>
        <w:t>410-412</w:t>
      </w:r>
      <w:r>
        <w:rPr>
          <w:sz w:val="24"/>
        </w:rPr>
        <w:t>.</w:t>
      </w:r>
    </w:p>
  </w:footnote>
  <w:footnote w:id="8">
    <w:p w14:paraId="6CA7A8C9" w14:textId="3393D39C" w:rsidR="00631438" w:rsidRPr="00155792" w:rsidRDefault="00631438" w:rsidP="00A96D0D">
      <w:pPr>
        <w:pStyle w:val="FootnoteText"/>
        <w:tabs>
          <w:tab w:val="left" w:pos="180"/>
        </w:tabs>
        <w:jc w:val="both"/>
        <w:rPr>
          <w:sz w:val="24"/>
        </w:rPr>
      </w:pPr>
      <w:r w:rsidRPr="00155792">
        <w:rPr>
          <w:rStyle w:val="FootnoteReference"/>
          <w:sz w:val="24"/>
        </w:rPr>
        <w:footnoteRef/>
      </w:r>
      <w:r w:rsidRPr="00155792">
        <w:rPr>
          <w:sz w:val="24"/>
        </w:rPr>
        <w:t xml:space="preserve"> </w:t>
      </w:r>
      <w:r w:rsidR="00A96D0D">
        <w:rPr>
          <w:sz w:val="24"/>
        </w:rPr>
        <w:tab/>
      </w:r>
      <w:r w:rsidRPr="00155792">
        <w:rPr>
          <w:i/>
          <w:sz w:val="24"/>
        </w:rPr>
        <w:t xml:space="preserve">See </w:t>
      </w:r>
      <w:proofErr w:type="spellStart"/>
      <w:r w:rsidRPr="00155792">
        <w:rPr>
          <w:i/>
          <w:sz w:val="24"/>
        </w:rPr>
        <w:t>Donofry</w:t>
      </w:r>
      <w:proofErr w:type="spellEnd"/>
      <w:r w:rsidRPr="00155792">
        <w:rPr>
          <w:i/>
          <w:sz w:val="24"/>
        </w:rPr>
        <w:t xml:space="preserve"> v. </w:t>
      </w:r>
      <w:proofErr w:type="spellStart"/>
      <w:r w:rsidRPr="00155792">
        <w:rPr>
          <w:i/>
          <w:sz w:val="24"/>
        </w:rPr>
        <w:t>Autotote</w:t>
      </w:r>
      <w:proofErr w:type="spellEnd"/>
      <w:r w:rsidRPr="00155792">
        <w:rPr>
          <w:i/>
          <w:sz w:val="24"/>
        </w:rPr>
        <w:t xml:space="preserve"> Systems, Inc</w:t>
      </w:r>
      <w:r w:rsidRPr="00155792">
        <w:rPr>
          <w:sz w:val="24"/>
        </w:rPr>
        <w:t xml:space="preserve">., 350 </w:t>
      </w:r>
      <w:r w:rsidRPr="00155792">
        <w:rPr>
          <w:i/>
          <w:sz w:val="24"/>
        </w:rPr>
        <w:t>N.J. Super</w:t>
      </w:r>
      <w:r w:rsidRPr="00155792">
        <w:rPr>
          <w:sz w:val="24"/>
        </w:rPr>
        <w:t xml:space="preserve">. 276, 295 (App. Div. 2001); </w:t>
      </w:r>
      <w:r w:rsidRPr="00155792">
        <w:rPr>
          <w:i/>
          <w:sz w:val="24"/>
        </w:rPr>
        <w:t>see also</w:t>
      </w:r>
      <w:r w:rsidRPr="00155792">
        <w:rPr>
          <w:sz w:val="24"/>
        </w:rPr>
        <w:t xml:space="preserve"> Model Civil Charge 2.21 for an alternate formulation to be used with the jury.</w:t>
      </w:r>
    </w:p>
  </w:footnote>
  <w:footnote w:id="9">
    <w:p w14:paraId="770317A2" w14:textId="5D2A6008" w:rsidR="00631438" w:rsidRPr="00155792" w:rsidRDefault="00631438" w:rsidP="006D481A">
      <w:pPr>
        <w:pStyle w:val="FootnoteText"/>
        <w:tabs>
          <w:tab w:val="left" w:pos="180"/>
        </w:tabs>
        <w:jc w:val="both"/>
        <w:rPr>
          <w:sz w:val="24"/>
        </w:rPr>
      </w:pPr>
      <w:r w:rsidRPr="00155792">
        <w:rPr>
          <w:rStyle w:val="FootnoteReference"/>
          <w:sz w:val="24"/>
        </w:rPr>
        <w:footnoteRef/>
      </w:r>
      <w:r w:rsidR="006D481A">
        <w:rPr>
          <w:sz w:val="24"/>
          <w:vertAlign w:val="superscript"/>
        </w:rPr>
        <w:t xml:space="preserve"> </w:t>
      </w:r>
      <w:r w:rsidR="006D481A">
        <w:rPr>
          <w:i/>
          <w:sz w:val="24"/>
        </w:rPr>
        <w:tab/>
      </w:r>
      <w:r w:rsidRPr="00155792">
        <w:rPr>
          <w:i/>
          <w:sz w:val="24"/>
        </w:rPr>
        <w:t xml:space="preserve">See </w:t>
      </w:r>
      <w:r w:rsidRPr="00155792">
        <w:rPr>
          <w:sz w:val="24"/>
        </w:rPr>
        <w:t xml:space="preserve">Model Civil Charge 2.21 and cases cited therein at fn. 2; </w:t>
      </w:r>
      <w:r w:rsidRPr="00155792">
        <w:rPr>
          <w:i/>
          <w:sz w:val="24"/>
        </w:rPr>
        <w:t>see also</w:t>
      </w:r>
      <w:r w:rsidRPr="00155792">
        <w:rPr>
          <w:sz w:val="24"/>
        </w:rPr>
        <w:t xml:space="preserve"> </w:t>
      </w:r>
      <w:proofErr w:type="spellStart"/>
      <w:r w:rsidRPr="00155792">
        <w:rPr>
          <w:i/>
          <w:sz w:val="24"/>
        </w:rPr>
        <w:t>Donofry</w:t>
      </w:r>
      <w:proofErr w:type="spellEnd"/>
      <w:r w:rsidRPr="00155792">
        <w:rPr>
          <w:sz w:val="24"/>
        </w:rPr>
        <w:t xml:space="preserve">, </w:t>
      </w:r>
      <w:r w:rsidRPr="00155792">
        <w:rPr>
          <w:i/>
          <w:sz w:val="24"/>
        </w:rPr>
        <w:t>supra</w:t>
      </w:r>
      <w:r w:rsidRPr="00155792">
        <w:rPr>
          <w:sz w:val="24"/>
        </w:rPr>
        <w:t xml:space="preserve">, 350 </w:t>
      </w:r>
      <w:r w:rsidRPr="00155792">
        <w:rPr>
          <w:i/>
          <w:sz w:val="24"/>
        </w:rPr>
        <w:t>N.J. Super</w:t>
      </w:r>
      <w:r w:rsidRPr="00155792">
        <w:rPr>
          <w:sz w:val="24"/>
        </w:rPr>
        <w:t>. at 296 (“Plaintiff need not prove that his whistle-blowing activity was the only factor in the decision to fire him.”</w:t>
      </w:r>
      <w:r w:rsidR="00CB772C" w:rsidRPr="00155792">
        <w:rPr>
          <w:sz w:val="24"/>
        </w:rPr>
        <w:t xml:space="preserve">); </w:t>
      </w:r>
      <w:r w:rsidR="00CB772C" w:rsidRPr="006D481A">
        <w:rPr>
          <w:i/>
          <w:iCs/>
          <w:sz w:val="24"/>
        </w:rPr>
        <w:t>Kolb</w:t>
      </w:r>
      <w:r w:rsidRPr="00155792">
        <w:rPr>
          <w:i/>
          <w:sz w:val="24"/>
        </w:rPr>
        <w:t xml:space="preserve"> v. Burns</w:t>
      </w:r>
      <w:r w:rsidRPr="00155792">
        <w:rPr>
          <w:sz w:val="24"/>
        </w:rPr>
        <w:t xml:space="preserve">, 320 </w:t>
      </w:r>
      <w:r w:rsidRPr="00155792">
        <w:rPr>
          <w:i/>
          <w:sz w:val="24"/>
        </w:rPr>
        <w:t>N.J. Super.</w:t>
      </w:r>
      <w:r w:rsidRPr="00155792">
        <w:rPr>
          <w:sz w:val="24"/>
        </w:rPr>
        <w:t xml:space="preserve"> 467, 479 (App. Div. 1999) (burden on plaintiff is to show “retaliatory discrimination was more likely than not a determinative factor in the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Bold" w:hAnsi="Times New Roman Bold"/>
        <w:b/>
      </w:rPr>
      <w:id w:val="1302502201"/>
      <w:docPartObj>
        <w:docPartGallery w:val="Page Numbers (Top of Page)"/>
        <w:docPartUnique/>
      </w:docPartObj>
    </w:sdtPr>
    <w:sdtEndPr/>
    <w:sdtContent>
      <w:p w14:paraId="1F0DECF4" w14:textId="427C567C" w:rsidR="0092000D" w:rsidRDefault="0092000D" w:rsidP="0031187B">
        <w:pPr>
          <w:pStyle w:val="Footer"/>
          <w:tabs>
            <w:tab w:val="clear" w:pos="4320"/>
            <w:tab w:val="clear" w:pos="8640"/>
          </w:tabs>
          <w:jc w:val="right"/>
          <w:rPr>
            <w:rFonts w:ascii="Times New Roman Bold" w:hAnsi="Times New Roman Bold"/>
            <w:b/>
          </w:rPr>
        </w:pPr>
        <w:r>
          <w:rPr>
            <w:rFonts w:ascii="Times New Roman Bold" w:hAnsi="Times New Roman Bold"/>
            <w:b/>
          </w:rPr>
          <w:t>CHARGE 2.26</w:t>
        </w:r>
        <w:r w:rsidR="009B279E">
          <w:rPr>
            <w:rFonts w:ascii="Times New Roman Bold" w:hAnsi="Times New Roman Bold"/>
            <w:b/>
          </w:rPr>
          <w:t>A</w:t>
        </w:r>
        <w:r>
          <w:rPr>
            <w:rFonts w:ascii="Times New Roman Bold" w:hAnsi="Times New Roman Bold"/>
            <w:b/>
          </w:rPr>
          <w:t xml:space="preserve"> – </w:t>
        </w:r>
        <w:r w:rsidRPr="00717B39">
          <w:rPr>
            <w:rFonts w:ascii="Times New Roman Bold" w:hAnsi="Times New Roman Bold"/>
            <w:b/>
          </w:rPr>
          <w:t xml:space="preserve">Page </w:t>
        </w:r>
        <w:r w:rsidRPr="00717B39">
          <w:rPr>
            <w:rFonts w:ascii="Times New Roman Bold" w:hAnsi="Times New Roman Bold"/>
            <w:b/>
            <w:bCs/>
            <w:szCs w:val="24"/>
          </w:rPr>
          <w:fldChar w:fldCharType="begin"/>
        </w:r>
        <w:r w:rsidRPr="00717B39">
          <w:rPr>
            <w:rFonts w:ascii="Times New Roman Bold" w:hAnsi="Times New Roman Bold"/>
            <w:b/>
            <w:bCs/>
          </w:rPr>
          <w:instrText xml:space="preserve"> PAGE </w:instrText>
        </w:r>
        <w:r w:rsidRPr="00717B39">
          <w:rPr>
            <w:rFonts w:ascii="Times New Roman Bold" w:hAnsi="Times New Roman Bold"/>
            <w:b/>
            <w:bCs/>
            <w:szCs w:val="24"/>
          </w:rPr>
          <w:fldChar w:fldCharType="separate"/>
        </w:r>
        <w:r w:rsidR="002910A1">
          <w:rPr>
            <w:rFonts w:ascii="Times New Roman Bold" w:hAnsi="Times New Roman Bold"/>
            <w:b/>
            <w:bCs/>
            <w:noProof/>
          </w:rPr>
          <w:t>2</w:t>
        </w:r>
        <w:r w:rsidRPr="00717B39">
          <w:rPr>
            <w:rFonts w:ascii="Times New Roman Bold" w:hAnsi="Times New Roman Bold"/>
            <w:b/>
            <w:bCs/>
            <w:szCs w:val="24"/>
          </w:rPr>
          <w:fldChar w:fldCharType="end"/>
        </w:r>
        <w:r w:rsidRPr="00717B39">
          <w:rPr>
            <w:rFonts w:ascii="Times New Roman Bold" w:hAnsi="Times New Roman Bold"/>
            <w:b/>
          </w:rPr>
          <w:t xml:space="preserve"> of </w:t>
        </w:r>
        <w:r w:rsidRPr="00717B39">
          <w:rPr>
            <w:rFonts w:ascii="Times New Roman Bold" w:hAnsi="Times New Roman Bold"/>
            <w:b/>
            <w:bCs/>
            <w:szCs w:val="24"/>
          </w:rPr>
          <w:fldChar w:fldCharType="begin"/>
        </w:r>
        <w:r w:rsidRPr="00717B39">
          <w:rPr>
            <w:rFonts w:ascii="Times New Roman Bold" w:hAnsi="Times New Roman Bold"/>
            <w:b/>
            <w:bCs/>
          </w:rPr>
          <w:instrText xml:space="preserve"> NUMPAGES  </w:instrText>
        </w:r>
        <w:r w:rsidRPr="00717B39">
          <w:rPr>
            <w:rFonts w:ascii="Times New Roman Bold" w:hAnsi="Times New Roman Bold"/>
            <w:b/>
            <w:bCs/>
            <w:szCs w:val="24"/>
          </w:rPr>
          <w:fldChar w:fldCharType="separate"/>
        </w:r>
        <w:r w:rsidR="002910A1">
          <w:rPr>
            <w:rFonts w:ascii="Times New Roman Bold" w:hAnsi="Times New Roman Bold"/>
            <w:b/>
            <w:bCs/>
            <w:noProof/>
          </w:rPr>
          <w:t>8</w:t>
        </w:r>
        <w:r w:rsidRPr="00717B39">
          <w:rPr>
            <w:rFonts w:ascii="Times New Roman Bold" w:hAnsi="Times New Roman Bold"/>
            <w:b/>
            <w:bCs/>
            <w:szCs w:val="24"/>
          </w:rPr>
          <w:fldChar w:fldCharType="end"/>
        </w:r>
      </w:p>
    </w:sdtContent>
  </w:sdt>
  <w:p w14:paraId="1AC3BC20" w14:textId="77777777" w:rsidR="0092000D" w:rsidRDefault="00920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64EE"/>
    <w:multiLevelType w:val="hybridMultilevel"/>
    <w:tmpl w:val="5D807F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1151DA"/>
    <w:multiLevelType w:val="hybridMultilevel"/>
    <w:tmpl w:val="F98400DC"/>
    <w:lvl w:ilvl="0" w:tplc="779874E6">
      <w:start w:val="4"/>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FB5A75"/>
    <w:multiLevelType w:val="hybridMultilevel"/>
    <w:tmpl w:val="07744936"/>
    <w:lvl w:ilvl="0" w:tplc="8CAE89C6">
      <w:start w:val="4"/>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398442CC"/>
    <w:multiLevelType w:val="hybridMultilevel"/>
    <w:tmpl w:val="F9DC0182"/>
    <w:lvl w:ilvl="0" w:tplc="1214CFF0">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AC41198"/>
    <w:multiLevelType w:val="hybridMultilevel"/>
    <w:tmpl w:val="980A2DBE"/>
    <w:lvl w:ilvl="0" w:tplc="1B24A23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323DB1"/>
    <w:multiLevelType w:val="hybridMultilevel"/>
    <w:tmpl w:val="EED2AEE2"/>
    <w:lvl w:ilvl="0" w:tplc="1944AC14">
      <w:start w:val="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4B0AB1"/>
    <w:multiLevelType w:val="hybridMultilevel"/>
    <w:tmpl w:val="7188D842"/>
    <w:lvl w:ilvl="0" w:tplc="6080AD5E">
      <w:start w:val="2"/>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784E2C4B"/>
    <w:multiLevelType w:val="hybridMultilevel"/>
    <w:tmpl w:val="C5DC439A"/>
    <w:lvl w:ilvl="0" w:tplc="B836651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B6855B0">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46C31EE">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CB805A0">
      <w:start w:val="1"/>
      <w:numFmt w:val="decimal"/>
      <w:lvlText w:val="%4"/>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95A5F0C">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C565114">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5F275EA">
      <w:start w:val="1"/>
      <w:numFmt w:val="decimal"/>
      <w:lvlText w:val="%7"/>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606572">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CE6E822">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7C116ACE"/>
    <w:multiLevelType w:val="hybridMultilevel"/>
    <w:tmpl w:val="06C03DB4"/>
    <w:lvl w:ilvl="0" w:tplc="0CB4C84E">
      <w:start w:val="5"/>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29728058">
    <w:abstractNumId w:val="5"/>
  </w:num>
  <w:num w:numId="2" w16cid:durableId="1254512217">
    <w:abstractNumId w:val="8"/>
  </w:num>
  <w:num w:numId="3" w16cid:durableId="1533299886">
    <w:abstractNumId w:val="6"/>
  </w:num>
  <w:num w:numId="4" w16cid:durableId="2063362790">
    <w:abstractNumId w:val="2"/>
  </w:num>
  <w:num w:numId="5" w16cid:durableId="1795522329">
    <w:abstractNumId w:val="1"/>
  </w:num>
  <w:num w:numId="6" w16cid:durableId="2079280747">
    <w:abstractNumId w:val="3"/>
  </w:num>
  <w:num w:numId="7" w16cid:durableId="14367525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2951159">
    <w:abstractNumId w:val="4"/>
  </w:num>
  <w:num w:numId="9" w16cid:durableId="11390350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93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WSACTIVELLP:9632255.1"/>
    <w:docVar w:name="MPDocIDTemplate" w:val="%l:%n.%v"/>
    <w:docVar w:name="MPDocIDTemplateDefault" w:val="%l:%n.%v"/>
    <w:docVar w:name="NewDocStampType" w:val="7"/>
  </w:docVars>
  <w:rsids>
    <w:rsidRoot w:val="00FA57A1"/>
    <w:rsid w:val="00042F9E"/>
    <w:rsid w:val="000521A9"/>
    <w:rsid w:val="00056B6A"/>
    <w:rsid w:val="00062473"/>
    <w:rsid w:val="00064229"/>
    <w:rsid w:val="00070715"/>
    <w:rsid w:val="000749D5"/>
    <w:rsid w:val="000767AF"/>
    <w:rsid w:val="000825CF"/>
    <w:rsid w:val="00086B04"/>
    <w:rsid w:val="00087DA0"/>
    <w:rsid w:val="00092995"/>
    <w:rsid w:val="000A4EBF"/>
    <w:rsid w:val="000B0BD4"/>
    <w:rsid w:val="000B4F1C"/>
    <w:rsid w:val="000B604F"/>
    <w:rsid w:val="000C4D02"/>
    <w:rsid w:val="000C61E9"/>
    <w:rsid w:val="000D23B2"/>
    <w:rsid w:val="000D446C"/>
    <w:rsid w:val="000E5B0A"/>
    <w:rsid w:val="000E799F"/>
    <w:rsid w:val="000F3DFD"/>
    <w:rsid w:val="000F5596"/>
    <w:rsid w:val="0010596B"/>
    <w:rsid w:val="00141532"/>
    <w:rsid w:val="0014290D"/>
    <w:rsid w:val="0015166E"/>
    <w:rsid w:val="00184578"/>
    <w:rsid w:val="0019429B"/>
    <w:rsid w:val="001A7178"/>
    <w:rsid w:val="001B2B95"/>
    <w:rsid w:val="001D336F"/>
    <w:rsid w:val="001F1634"/>
    <w:rsid w:val="001F2994"/>
    <w:rsid w:val="001F55A6"/>
    <w:rsid w:val="00212A45"/>
    <w:rsid w:val="00216875"/>
    <w:rsid w:val="002233BD"/>
    <w:rsid w:val="002509BD"/>
    <w:rsid w:val="002743DF"/>
    <w:rsid w:val="002744CC"/>
    <w:rsid w:val="00281D25"/>
    <w:rsid w:val="00282169"/>
    <w:rsid w:val="00282B07"/>
    <w:rsid w:val="00287344"/>
    <w:rsid w:val="002910A1"/>
    <w:rsid w:val="00292005"/>
    <w:rsid w:val="0029533E"/>
    <w:rsid w:val="00297BCB"/>
    <w:rsid w:val="002A0C21"/>
    <w:rsid w:val="002A3100"/>
    <w:rsid w:val="002A5721"/>
    <w:rsid w:val="002B1077"/>
    <w:rsid w:val="002C2902"/>
    <w:rsid w:val="002C528C"/>
    <w:rsid w:val="002D5B60"/>
    <w:rsid w:val="002E4909"/>
    <w:rsid w:val="00302A4E"/>
    <w:rsid w:val="0031187B"/>
    <w:rsid w:val="00320FF1"/>
    <w:rsid w:val="0035116B"/>
    <w:rsid w:val="0035140A"/>
    <w:rsid w:val="00351466"/>
    <w:rsid w:val="0035285A"/>
    <w:rsid w:val="00360DC0"/>
    <w:rsid w:val="00361E35"/>
    <w:rsid w:val="00382ACE"/>
    <w:rsid w:val="003905FB"/>
    <w:rsid w:val="003909F4"/>
    <w:rsid w:val="00391E1B"/>
    <w:rsid w:val="003A4196"/>
    <w:rsid w:val="003A5484"/>
    <w:rsid w:val="003B102A"/>
    <w:rsid w:val="003C0427"/>
    <w:rsid w:val="003C3996"/>
    <w:rsid w:val="003F3FFA"/>
    <w:rsid w:val="003F6815"/>
    <w:rsid w:val="003F770E"/>
    <w:rsid w:val="0040217D"/>
    <w:rsid w:val="00414934"/>
    <w:rsid w:val="00425D79"/>
    <w:rsid w:val="00426751"/>
    <w:rsid w:val="00433869"/>
    <w:rsid w:val="00434F0A"/>
    <w:rsid w:val="004412EF"/>
    <w:rsid w:val="004430EA"/>
    <w:rsid w:val="004447EA"/>
    <w:rsid w:val="00466EDA"/>
    <w:rsid w:val="004677E0"/>
    <w:rsid w:val="00475A50"/>
    <w:rsid w:val="004779B4"/>
    <w:rsid w:val="00481386"/>
    <w:rsid w:val="00493E8F"/>
    <w:rsid w:val="00495048"/>
    <w:rsid w:val="0049637E"/>
    <w:rsid w:val="004A2CCB"/>
    <w:rsid w:val="004C1AF1"/>
    <w:rsid w:val="004D52AF"/>
    <w:rsid w:val="004E1E68"/>
    <w:rsid w:val="004E24B0"/>
    <w:rsid w:val="004F023C"/>
    <w:rsid w:val="004F39D6"/>
    <w:rsid w:val="0050743C"/>
    <w:rsid w:val="005168CB"/>
    <w:rsid w:val="00525074"/>
    <w:rsid w:val="005342EB"/>
    <w:rsid w:val="00541489"/>
    <w:rsid w:val="005441D0"/>
    <w:rsid w:val="0054658A"/>
    <w:rsid w:val="005467F8"/>
    <w:rsid w:val="00547064"/>
    <w:rsid w:val="005920FA"/>
    <w:rsid w:val="005940C3"/>
    <w:rsid w:val="005A7BC3"/>
    <w:rsid w:val="005F0785"/>
    <w:rsid w:val="005F6A07"/>
    <w:rsid w:val="00601F5F"/>
    <w:rsid w:val="00604973"/>
    <w:rsid w:val="00614BB0"/>
    <w:rsid w:val="00622276"/>
    <w:rsid w:val="00631438"/>
    <w:rsid w:val="00634798"/>
    <w:rsid w:val="006531E1"/>
    <w:rsid w:val="00653625"/>
    <w:rsid w:val="006563E5"/>
    <w:rsid w:val="00671CF1"/>
    <w:rsid w:val="00684959"/>
    <w:rsid w:val="0068562A"/>
    <w:rsid w:val="0069237D"/>
    <w:rsid w:val="0069525E"/>
    <w:rsid w:val="006C7265"/>
    <w:rsid w:val="006D1234"/>
    <w:rsid w:val="006D481A"/>
    <w:rsid w:val="006F0601"/>
    <w:rsid w:val="00712C81"/>
    <w:rsid w:val="00717B39"/>
    <w:rsid w:val="00722BE9"/>
    <w:rsid w:val="00724274"/>
    <w:rsid w:val="007277D7"/>
    <w:rsid w:val="00735E80"/>
    <w:rsid w:val="007465FE"/>
    <w:rsid w:val="00746DF3"/>
    <w:rsid w:val="00750406"/>
    <w:rsid w:val="00753561"/>
    <w:rsid w:val="007562C3"/>
    <w:rsid w:val="007576E8"/>
    <w:rsid w:val="00771D3C"/>
    <w:rsid w:val="007729A5"/>
    <w:rsid w:val="00783925"/>
    <w:rsid w:val="00785E58"/>
    <w:rsid w:val="007A18F4"/>
    <w:rsid w:val="007C2E92"/>
    <w:rsid w:val="007D045E"/>
    <w:rsid w:val="007D1765"/>
    <w:rsid w:val="007D375F"/>
    <w:rsid w:val="007D6AAC"/>
    <w:rsid w:val="007E1526"/>
    <w:rsid w:val="007E3174"/>
    <w:rsid w:val="007E40A5"/>
    <w:rsid w:val="007F5DBD"/>
    <w:rsid w:val="00801F3E"/>
    <w:rsid w:val="00802D4C"/>
    <w:rsid w:val="00811451"/>
    <w:rsid w:val="00825C8A"/>
    <w:rsid w:val="008275C0"/>
    <w:rsid w:val="00834437"/>
    <w:rsid w:val="00841C25"/>
    <w:rsid w:val="00864EB3"/>
    <w:rsid w:val="0086593D"/>
    <w:rsid w:val="00870909"/>
    <w:rsid w:val="00871F03"/>
    <w:rsid w:val="00877486"/>
    <w:rsid w:val="00880DB0"/>
    <w:rsid w:val="00887E15"/>
    <w:rsid w:val="00890C79"/>
    <w:rsid w:val="008970C8"/>
    <w:rsid w:val="00897B1A"/>
    <w:rsid w:val="008A1504"/>
    <w:rsid w:val="008F2813"/>
    <w:rsid w:val="00902DAF"/>
    <w:rsid w:val="00917A40"/>
    <w:rsid w:val="0092000D"/>
    <w:rsid w:val="00942C14"/>
    <w:rsid w:val="00953051"/>
    <w:rsid w:val="00981860"/>
    <w:rsid w:val="00981B3C"/>
    <w:rsid w:val="0099148D"/>
    <w:rsid w:val="009944D4"/>
    <w:rsid w:val="009A40C4"/>
    <w:rsid w:val="009A4D69"/>
    <w:rsid w:val="009A6AEC"/>
    <w:rsid w:val="009B279E"/>
    <w:rsid w:val="009C22E8"/>
    <w:rsid w:val="009F2D17"/>
    <w:rsid w:val="009F6C7F"/>
    <w:rsid w:val="00A00094"/>
    <w:rsid w:val="00A3056B"/>
    <w:rsid w:val="00A4161A"/>
    <w:rsid w:val="00A44FB9"/>
    <w:rsid w:val="00A71BF6"/>
    <w:rsid w:val="00A721C3"/>
    <w:rsid w:val="00A77B96"/>
    <w:rsid w:val="00A879E5"/>
    <w:rsid w:val="00A93412"/>
    <w:rsid w:val="00A96D0D"/>
    <w:rsid w:val="00AA1969"/>
    <w:rsid w:val="00AB1F38"/>
    <w:rsid w:val="00AB3EE8"/>
    <w:rsid w:val="00AC2FFC"/>
    <w:rsid w:val="00AD22CC"/>
    <w:rsid w:val="00AF32A4"/>
    <w:rsid w:val="00B01942"/>
    <w:rsid w:val="00B04BED"/>
    <w:rsid w:val="00B07764"/>
    <w:rsid w:val="00B22079"/>
    <w:rsid w:val="00B443EC"/>
    <w:rsid w:val="00B46C7B"/>
    <w:rsid w:val="00B525C9"/>
    <w:rsid w:val="00B5275A"/>
    <w:rsid w:val="00B57153"/>
    <w:rsid w:val="00B61A4E"/>
    <w:rsid w:val="00B66863"/>
    <w:rsid w:val="00B75822"/>
    <w:rsid w:val="00B824FD"/>
    <w:rsid w:val="00B84842"/>
    <w:rsid w:val="00BA4819"/>
    <w:rsid w:val="00BB4658"/>
    <w:rsid w:val="00BB7DB8"/>
    <w:rsid w:val="00BC18E9"/>
    <w:rsid w:val="00BC3820"/>
    <w:rsid w:val="00BC654B"/>
    <w:rsid w:val="00BC6E16"/>
    <w:rsid w:val="00BD0A6A"/>
    <w:rsid w:val="00BD0F4C"/>
    <w:rsid w:val="00BD2EB5"/>
    <w:rsid w:val="00BD74B7"/>
    <w:rsid w:val="00BE1539"/>
    <w:rsid w:val="00C112BF"/>
    <w:rsid w:val="00C118CA"/>
    <w:rsid w:val="00C11FBC"/>
    <w:rsid w:val="00C1394A"/>
    <w:rsid w:val="00C62400"/>
    <w:rsid w:val="00C6569E"/>
    <w:rsid w:val="00C81329"/>
    <w:rsid w:val="00C854A7"/>
    <w:rsid w:val="00C97470"/>
    <w:rsid w:val="00CB5A41"/>
    <w:rsid w:val="00CB772C"/>
    <w:rsid w:val="00CC1983"/>
    <w:rsid w:val="00CC37AD"/>
    <w:rsid w:val="00CC409D"/>
    <w:rsid w:val="00CF5293"/>
    <w:rsid w:val="00D2533A"/>
    <w:rsid w:val="00D34C1A"/>
    <w:rsid w:val="00D744BB"/>
    <w:rsid w:val="00D832DC"/>
    <w:rsid w:val="00D94636"/>
    <w:rsid w:val="00DA075A"/>
    <w:rsid w:val="00DB75F2"/>
    <w:rsid w:val="00DC1FC2"/>
    <w:rsid w:val="00DC4D52"/>
    <w:rsid w:val="00DD1AB4"/>
    <w:rsid w:val="00DD20C2"/>
    <w:rsid w:val="00DD7266"/>
    <w:rsid w:val="00DE7DB1"/>
    <w:rsid w:val="00DF0B0D"/>
    <w:rsid w:val="00DF34DA"/>
    <w:rsid w:val="00E00E98"/>
    <w:rsid w:val="00E16908"/>
    <w:rsid w:val="00E17333"/>
    <w:rsid w:val="00E57D77"/>
    <w:rsid w:val="00E62F6C"/>
    <w:rsid w:val="00E66648"/>
    <w:rsid w:val="00E66ADB"/>
    <w:rsid w:val="00E9307F"/>
    <w:rsid w:val="00EA5382"/>
    <w:rsid w:val="00EB40C7"/>
    <w:rsid w:val="00EB50A2"/>
    <w:rsid w:val="00ED5B26"/>
    <w:rsid w:val="00EE2FC8"/>
    <w:rsid w:val="00EF7666"/>
    <w:rsid w:val="00F032EC"/>
    <w:rsid w:val="00F04F2C"/>
    <w:rsid w:val="00F10A50"/>
    <w:rsid w:val="00F1150E"/>
    <w:rsid w:val="00F12F3B"/>
    <w:rsid w:val="00F336E8"/>
    <w:rsid w:val="00F43AC6"/>
    <w:rsid w:val="00F50253"/>
    <w:rsid w:val="00F56024"/>
    <w:rsid w:val="00F56046"/>
    <w:rsid w:val="00F617FE"/>
    <w:rsid w:val="00F82C30"/>
    <w:rsid w:val="00F9405E"/>
    <w:rsid w:val="00FA57A1"/>
    <w:rsid w:val="00FB35A8"/>
    <w:rsid w:val="00FD558F"/>
    <w:rsid w:val="00FE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C039505"/>
  <w15:docId w15:val="{D3E2162B-9B7D-4658-8BC0-76F7B9A0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4"/>
    </w:rPr>
  </w:style>
  <w:style w:type="character" w:styleId="EndnoteReference">
    <w:name w:val="endnote reference"/>
    <w:semiHidden/>
    <w:rPr>
      <w:vertAlign w:val="superscript"/>
    </w:rPr>
  </w:style>
  <w:style w:type="paragraph" w:styleId="FootnoteText">
    <w:name w:val="footnote text"/>
    <w:basedOn w:val="Normal"/>
    <w:link w:val="FootnoteTextChar"/>
    <w:semiHidden/>
    <w:rPr>
      <w:sz w:val="20"/>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szCs w:val="24"/>
    </w:rPr>
  </w:style>
  <w:style w:type="character" w:customStyle="1" w:styleId="EquationCaption">
    <w:name w:val="_Equation Caption"/>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720"/>
        <w:tab w:val="left" w:pos="0"/>
        <w:tab w:val="left" w:pos="720"/>
      </w:tabs>
      <w:spacing w:after="240" w:line="240" w:lineRule="atLeast"/>
      <w:ind w:left="1440" w:hanging="1440"/>
      <w:jc w:val="both"/>
    </w:pPr>
    <w:rPr>
      <w:b/>
      <w:bCs/>
      <w:spacing w:val="-3"/>
    </w:rPr>
  </w:style>
  <w:style w:type="paragraph" w:styleId="BodyTextIndent2">
    <w:name w:val="Body Text Indent 2"/>
    <w:basedOn w:val="Normal"/>
    <w:pPr>
      <w:tabs>
        <w:tab w:val="left" w:pos="-720"/>
        <w:tab w:val="left" w:pos="0"/>
        <w:tab w:val="left" w:pos="720"/>
      </w:tabs>
      <w:ind w:left="2160" w:hanging="2160"/>
      <w:jc w:val="both"/>
    </w:pPr>
    <w:rPr>
      <w:spacing w:val="-3"/>
    </w:rPr>
  </w:style>
  <w:style w:type="paragraph" w:styleId="BalloonText">
    <w:name w:val="Balloon Text"/>
    <w:basedOn w:val="Normal"/>
    <w:semiHidden/>
    <w:rsid w:val="00FA57A1"/>
    <w:rPr>
      <w:rFonts w:ascii="Tahoma" w:hAnsi="Tahoma" w:cs="Tahoma"/>
      <w:sz w:val="16"/>
      <w:szCs w:val="16"/>
    </w:rPr>
  </w:style>
  <w:style w:type="paragraph" w:styleId="BodyText">
    <w:name w:val="Body Text"/>
    <w:basedOn w:val="Normal"/>
    <w:rsid w:val="00092995"/>
    <w:pPr>
      <w:tabs>
        <w:tab w:val="left" w:pos="-720"/>
      </w:tabs>
      <w:spacing w:line="480" w:lineRule="atLeast"/>
      <w:jc w:val="both"/>
    </w:pPr>
    <w:rPr>
      <w:spacing w:val="-3"/>
    </w:rPr>
  </w:style>
  <w:style w:type="paragraph" w:styleId="Revision">
    <w:name w:val="Revision"/>
    <w:hidden/>
    <w:uiPriority w:val="99"/>
    <w:semiHidden/>
    <w:rsid w:val="00493E8F"/>
    <w:rPr>
      <w:sz w:val="28"/>
      <w:szCs w:val="28"/>
    </w:rPr>
  </w:style>
  <w:style w:type="character" w:customStyle="1" w:styleId="HeaderChar">
    <w:name w:val="Header Char"/>
    <w:basedOn w:val="DefaultParagraphFont"/>
    <w:link w:val="Header"/>
    <w:uiPriority w:val="99"/>
    <w:rsid w:val="00717B39"/>
    <w:rPr>
      <w:sz w:val="28"/>
      <w:szCs w:val="28"/>
    </w:rPr>
  </w:style>
  <w:style w:type="character" w:customStyle="1" w:styleId="FooterChar">
    <w:name w:val="Footer Char"/>
    <w:basedOn w:val="DefaultParagraphFont"/>
    <w:link w:val="Footer"/>
    <w:uiPriority w:val="99"/>
    <w:rsid w:val="00717B39"/>
    <w:rPr>
      <w:sz w:val="28"/>
      <w:szCs w:val="28"/>
    </w:rPr>
  </w:style>
  <w:style w:type="character" w:customStyle="1" w:styleId="FootnoteTextChar">
    <w:name w:val="Footnote Text Char"/>
    <w:basedOn w:val="DefaultParagraphFont"/>
    <w:link w:val="FootnoteText"/>
    <w:semiHidden/>
    <w:rsid w:val="00525074"/>
    <w:rPr>
      <w:szCs w:val="24"/>
    </w:rPr>
  </w:style>
  <w:style w:type="paragraph" w:styleId="CommentSubject">
    <w:name w:val="annotation subject"/>
    <w:basedOn w:val="CommentText"/>
    <w:next w:val="CommentText"/>
    <w:link w:val="CommentSubjectChar"/>
    <w:semiHidden/>
    <w:unhideWhenUsed/>
    <w:rsid w:val="00434F0A"/>
    <w:rPr>
      <w:b/>
      <w:bCs/>
    </w:rPr>
  </w:style>
  <w:style w:type="character" w:customStyle="1" w:styleId="CommentTextChar">
    <w:name w:val="Comment Text Char"/>
    <w:basedOn w:val="DefaultParagraphFont"/>
    <w:link w:val="CommentText"/>
    <w:semiHidden/>
    <w:rsid w:val="00434F0A"/>
  </w:style>
  <w:style w:type="character" w:customStyle="1" w:styleId="CommentSubjectChar">
    <w:name w:val="Comment Subject Char"/>
    <w:basedOn w:val="CommentTextChar"/>
    <w:link w:val="CommentSubject"/>
    <w:semiHidden/>
    <w:rsid w:val="00434F0A"/>
    <w:rPr>
      <w:b/>
      <w:bCs/>
    </w:rPr>
  </w:style>
  <w:style w:type="character" w:customStyle="1" w:styleId="zzmpTrailerItem">
    <w:name w:val="zzmpTrailerItem"/>
    <w:basedOn w:val="DefaultParagraphFont"/>
    <w:rsid w:val="00722BE9"/>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B07764"/>
    <w:pPr>
      <w:widowControl/>
      <w:autoSpaceDE/>
      <w:autoSpaceDN/>
      <w:adjustRightInd/>
      <w:ind w:left="720"/>
    </w:pPr>
    <w:rPr>
      <w:rFonts w:ascii="Calibri" w:eastAsiaTheme="minorHAnsi" w:hAnsi="Calibri" w:cs="Calibri"/>
      <w:sz w:val="22"/>
      <w:szCs w:val="22"/>
    </w:rPr>
  </w:style>
  <w:style w:type="character" w:customStyle="1" w:styleId="footnotedescriptionChar">
    <w:name w:val="footnote description Char"/>
    <w:link w:val="footnotedescription"/>
    <w:locked/>
    <w:rsid w:val="00297BCB"/>
    <w:rPr>
      <w:color w:val="000000"/>
      <w:szCs w:val="22"/>
    </w:rPr>
  </w:style>
  <w:style w:type="paragraph" w:customStyle="1" w:styleId="footnotedescription">
    <w:name w:val="footnote description"/>
    <w:next w:val="Normal"/>
    <w:link w:val="footnotedescriptionChar"/>
    <w:rsid w:val="00297BCB"/>
    <w:pPr>
      <w:spacing w:line="252" w:lineRule="auto"/>
      <w:ind w:right="66"/>
      <w:jc w:val="both"/>
    </w:pPr>
    <w:rPr>
      <w:color w:val="000000"/>
      <w:szCs w:val="22"/>
    </w:rPr>
  </w:style>
  <w:style w:type="character" w:customStyle="1" w:styleId="footnotemark">
    <w:name w:val="footnote mark"/>
    <w:rsid w:val="00297BCB"/>
    <w:rPr>
      <w:rFonts w:ascii="Times New Roman" w:eastAsia="Times New Roman" w:hAnsi="Times New Roman" w:cs="Times New Roman" w:hint="default"/>
      <w:color w:val="000000"/>
      <w:sz w:val="20"/>
      <w:vertAlign w:val="superscript"/>
    </w:rPr>
  </w:style>
  <w:style w:type="paragraph" w:styleId="NormalWeb">
    <w:name w:val="Normal (Web)"/>
    <w:basedOn w:val="Normal"/>
    <w:uiPriority w:val="99"/>
    <w:semiHidden/>
    <w:unhideWhenUsed/>
    <w:rsid w:val="002B1077"/>
    <w:pPr>
      <w:widowControl/>
      <w:autoSpaceDE/>
      <w:autoSpaceDN/>
      <w:adjustRightInd/>
      <w:spacing w:before="100" w:beforeAutospacing="1" w:after="100" w:afterAutospacing="1"/>
    </w:pPr>
    <w:rPr>
      <w:sz w:val="24"/>
      <w:szCs w:val="24"/>
    </w:rPr>
  </w:style>
  <w:style w:type="character" w:customStyle="1" w:styleId="wordphrase">
    <w:name w:val="wordphrase"/>
    <w:basedOn w:val="DefaultParagraphFont"/>
    <w:rsid w:val="002B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53866">
      <w:bodyDiv w:val="1"/>
      <w:marLeft w:val="0"/>
      <w:marRight w:val="0"/>
      <w:marTop w:val="0"/>
      <w:marBottom w:val="0"/>
      <w:divBdr>
        <w:top w:val="none" w:sz="0" w:space="0" w:color="auto"/>
        <w:left w:val="none" w:sz="0" w:space="0" w:color="auto"/>
        <w:bottom w:val="none" w:sz="0" w:space="0" w:color="auto"/>
        <w:right w:val="none" w:sz="0" w:space="0" w:color="auto"/>
      </w:divBdr>
    </w:div>
    <w:div w:id="426729325">
      <w:bodyDiv w:val="1"/>
      <w:marLeft w:val="0"/>
      <w:marRight w:val="0"/>
      <w:marTop w:val="0"/>
      <w:marBottom w:val="0"/>
      <w:divBdr>
        <w:top w:val="none" w:sz="0" w:space="0" w:color="auto"/>
        <w:left w:val="none" w:sz="0" w:space="0" w:color="auto"/>
        <w:bottom w:val="none" w:sz="0" w:space="0" w:color="auto"/>
        <w:right w:val="none" w:sz="0" w:space="0" w:color="auto"/>
      </w:divBdr>
    </w:div>
    <w:div w:id="7002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41FE-6676-4EA2-985A-0ABC5EAE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1986</Words>
  <Characters>10753</Characters>
  <Application>Microsoft Office Word</Application>
  <DocSecurity>0</DocSecurity>
  <PresentationFormat/>
  <Lines>89</Lines>
  <Paragraphs>25</Paragraphs>
  <ScaleCrop>false</ScaleCrop>
  <HeadingPairs>
    <vt:vector size="2" baseType="variant">
      <vt:variant>
        <vt:lpstr>Title</vt:lpstr>
      </vt:variant>
      <vt:variant>
        <vt:i4>1</vt:i4>
      </vt:variant>
    </vt:vector>
  </HeadingPairs>
  <TitlesOfParts>
    <vt:vector size="1" baseType="lpstr">
      <vt:lpstr>9-9-21 MCJC 2.26 (revised) (MB089458).DOCX</vt:lpstr>
    </vt:vector>
  </TitlesOfParts>
  <Company>State of NJ-Judiciary</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9-9-21 MCJC 2.26 (revised) (MB089458).DOCX</dc:title>
  <dc:creator>PC307704</dc:creator>
  <cp:lastModifiedBy>Kristi Robinson</cp:lastModifiedBy>
  <cp:revision>7</cp:revision>
  <cp:lastPrinted>2022-09-23T19:41:00Z</cp:lastPrinted>
  <dcterms:created xsi:type="dcterms:W3CDTF">2021-09-09T15:40:00Z</dcterms:created>
  <dcterms:modified xsi:type="dcterms:W3CDTF">2022-10-20T18:56:00Z</dcterms:modified>
</cp:coreProperties>
</file>