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D4" w:rsidRDefault="00F62686" w:rsidP="00E022BB">
      <w:pPr>
        <w:widowControl/>
        <w:tabs>
          <w:tab w:val="left" w:pos="1440"/>
        </w:tabs>
        <w:ind w:left="1440" w:hanging="1440"/>
        <w:rPr>
          <w:spacing w:val="-3"/>
        </w:rPr>
      </w:pPr>
      <w:r>
        <w:rPr>
          <w:b/>
          <w:spacing w:val="-3"/>
        </w:rPr>
        <w:t>2.33</w:t>
      </w:r>
      <w:r>
        <w:rPr>
          <w:b/>
          <w:spacing w:val="-3"/>
        </w:rPr>
        <w:tab/>
      </w:r>
      <w:r w:rsidR="00095FE2" w:rsidRPr="00095FE2">
        <w:rPr>
          <w:b/>
          <w:szCs w:val="28"/>
        </w:rPr>
        <w:t>Mitigation of Economic Damages – Back Pay</w:t>
      </w:r>
    </w:p>
    <w:p w:rsidR="00F62686" w:rsidRDefault="00CE16D4" w:rsidP="00CE16D4">
      <w:pPr>
        <w:widowControl/>
        <w:tabs>
          <w:tab w:val="left" w:pos="1440"/>
        </w:tabs>
        <w:ind w:left="1440" w:hanging="1440"/>
        <w:rPr>
          <w:spacing w:val="-3"/>
        </w:rPr>
      </w:pPr>
      <w:r>
        <w:rPr>
          <w:spacing w:val="-3"/>
        </w:rPr>
        <w:tab/>
      </w:r>
      <w:r w:rsidR="00F62686">
        <w:rPr>
          <w:spacing w:val="-3"/>
        </w:rPr>
        <w:t>(</w:t>
      </w:r>
      <w:bookmarkStart w:id="0" w:name="_GoBack"/>
      <w:bookmarkEnd w:id="0"/>
      <w:r w:rsidR="00F84149">
        <w:rPr>
          <w:spacing w:val="-3"/>
        </w:rPr>
        <w:t>04/2014</w:t>
      </w:r>
      <w:r w:rsidR="00F62686">
        <w:rPr>
          <w:spacing w:val="-3"/>
        </w:rPr>
        <w:t>)</w:t>
      </w:r>
    </w:p>
    <w:p w:rsidR="00CE16D4" w:rsidRDefault="00CE16D4">
      <w:pPr>
        <w:pStyle w:val="BodyTextIndent"/>
        <w:suppressAutoHyphens/>
        <w:ind w:hanging="720"/>
        <w:rPr>
          <w:b/>
          <w:bCs/>
          <w:sz w:val="28"/>
        </w:rPr>
      </w:pPr>
    </w:p>
    <w:p w:rsidR="00F62686" w:rsidRDefault="00F62686">
      <w:pPr>
        <w:pStyle w:val="BodyTextIndent"/>
        <w:suppressAutoHyphens/>
        <w:ind w:hanging="720"/>
        <w:rPr>
          <w:b/>
          <w:bCs/>
          <w:sz w:val="28"/>
        </w:rPr>
      </w:pPr>
      <w:r>
        <w:rPr>
          <w:b/>
          <w:bCs/>
          <w:sz w:val="28"/>
        </w:rPr>
        <w:tab/>
        <w:t>(To be provided in conjunction with or following general instructions regarding damages in a wrongful discharge or discrimination case)</w:t>
      </w:r>
    </w:p>
    <w:p w:rsidR="00F62686" w:rsidRDefault="00F62686" w:rsidP="007263BB">
      <w:pPr>
        <w:tabs>
          <w:tab w:val="left" w:pos="-720"/>
          <w:tab w:val="left" w:pos="0"/>
          <w:tab w:val="left" w:pos="720"/>
        </w:tabs>
        <w:spacing w:before="120" w:after="120" w:line="480" w:lineRule="auto"/>
        <w:ind w:left="1440" w:hanging="1440"/>
        <w:jc w:val="both"/>
        <w:rPr>
          <w:spacing w:val="-3"/>
        </w:rPr>
      </w:pPr>
      <w:r>
        <w:rPr>
          <w:b/>
          <w:spacing w:val="-3"/>
        </w:rPr>
        <w:tab/>
        <w:t>A.</w:t>
      </w:r>
      <w:r>
        <w:rPr>
          <w:b/>
          <w:spacing w:val="-3"/>
        </w:rPr>
        <w:tab/>
        <w:t>General Mitigation Principles</w:t>
      </w:r>
    </w:p>
    <w:p w:rsidR="00F62686" w:rsidRDefault="00F62686" w:rsidP="007263BB">
      <w:pPr>
        <w:tabs>
          <w:tab w:val="left" w:pos="-720"/>
        </w:tabs>
        <w:spacing w:before="120" w:after="120" w:line="480" w:lineRule="auto"/>
        <w:jc w:val="both"/>
        <w:rPr>
          <w:spacing w:val="-3"/>
        </w:rPr>
      </w:pPr>
      <w:r>
        <w:rPr>
          <w:spacing w:val="-3"/>
        </w:rPr>
        <w:tab/>
        <w:t>1.</w:t>
      </w:r>
      <w:r>
        <w:rPr>
          <w:spacing w:val="-3"/>
        </w:rPr>
        <w:tab/>
        <w:t>If, in accordance with the principles of law previously given to you, you find that the defendant is liable to the plaintiff for damages which include back</w:t>
      </w:r>
      <w:r w:rsidR="00E72631">
        <w:rPr>
          <w:spacing w:val="-3"/>
        </w:rPr>
        <w:t xml:space="preserve"> </w:t>
      </w:r>
      <w:r>
        <w:rPr>
          <w:spacing w:val="-3"/>
        </w:rPr>
        <w:t>pay, you are to reduce the amount awarded by all income which the plaintiff either earned or could have earned from comparable employment if she/he had used reasonable and diligent efforts to obtain such a position.</w:t>
      </w:r>
      <w:r>
        <w:rPr>
          <w:rStyle w:val="FootnoteReference"/>
          <w:spacing w:val="-3"/>
        </w:rPr>
        <w:footnoteReference w:id="1"/>
      </w:r>
    </w:p>
    <w:p w:rsidR="00F62686" w:rsidRDefault="00F62686">
      <w:pPr>
        <w:tabs>
          <w:tab w:val="left" w:pos="-720"/>
        </w:tabs>
        <w:spacing w:after="180" w:line="480" w:lineRule="auto"/>
        <w:jc w:val="both"/>
        <w:rPr>
          <w:spacing w:val="-3"/>
        </w:rPr>
      </w:pPr>
      <w:r>
        <w:rPr>
          <w:spacing w:val="-3"/>
        </w:rPr>
        <w:tab/>
        <w:t>2.</w:t>
      </w:r>
      <w:r>
        <w:rPr>
          <w:spacing w:val="-3"/>
        </w:rPr>
        <w:tab/>
        <w:t>The back pay damages are to be reduced by earnings that plaintiff either earned or could have earned because the law requires that the plaintiff use reasonable and diligent efforts to mitigate or minimize the amount of damages she/he has sustained.</w:t>
      </w:r>
    </w:p>
    <w:p w:rsidR="00F62686" w:rsidRDefault="00F62686">
      <w:pPr>
        <w:tabs>
          <w:tab w:val="left" w:pos="-720"/>
        </w:tabs>
        <w:spacing w:after="180" w:line="480" w:lineRule="auto"/>
        <w:jc w:val="both"/>
        <w:rPr>
          <w:spacing w:val="-3"/>
        </w:rPr>
      </w:pPr>
      <w:r>
        <w:rPr>
          <w:spacing w:val="-3"/>
        </w:rPr>
        <w:br w:type="page"/>
      </w:r>
      <w:r>
        <w:rPr>
          <w:spacing w:val="-3"/>
        </w:rPr>
        <w:lastRenderedPageBreak/>
        <w:tab/>
        <w:t>3.</w:t>
      </w:r>
      <w:r>
        <w:rPr>
          <w:spacing w:val="-3"/>
        </w:rPr>
        <w:tab/>
        <w:t>In this case, the defendant asserts that the plaintiff failed to mitigate his/her damages by failing to properly (seek/accept) comparable employment.  The burden of persuasion on this point is on the defendant.  This means that the defendant was required to present credible evidence which leads you to believe that it is more likely than not that the plaintiff failed to mitigate or minimize his/her damages.</w:t>
      </w:r>
      <w:r>
        <w:rPr>
          <w:rStyle w:val="FootnoteReference"/>
          <w:spacing w:val="-3"/>
        </w:rPr>
        <w:footnoteReference w:id="2"/>
      </w:r>
    </w:p>
    <w:p w:rsidR="00F62686" w:rsidRDefault="00F62686">
      <w:pPr>
        <w:tabs>
          <w:tab w:val="left" w:pos="-720"/>
        </w:tabs>
        <w:spacing w:after="180" w:line="480" w:lineRule="auto"/>
        <w:jc w:val="both"/>
        <w:rPr>
          <w:spacing w:val="-3"/>
        </w:rPr>
      </w:pPr>
      <w:r>
        <w:rPr>
          <w:spacing w:val="-3"/>
        </w:rPr>
        <w:tab/>
        <w:t>4.</w:t>
      </w:r>
      <w:r>
        <w:rPr>
          <w:spacing w:val="-3"/>
        </w:rPr>
        <w:tab/>
        <w:t xml:space="preserve">The defendant may establish this by introducing evidence that (1) plaintiff made no effort or no reasonable effort to </w:t>
      </w:r>
      <w:r w:rsidR="009B4083">
        <w:rPr>
          <w:spacing w:val="-3"/>
        </w:rPr>
        <w:t>secure comparable employment, and</w:t>
      </w:r>
      <w:r>
        <w:rPr>
          <w:spacing w:val="-3"/>
        </w:rPr>
        <w:t xml:space="preserve"> (2) other employment opportunities were available that were comparable to the position plaintiff (lost/was denied).</w:t>
      </w:r>
      <w:r>
        <w:rPr>
          <w:rStyle w:val="FootnoteReference"/>
          <w:spacing w:val="-3"/>
        </w:rPr>
        <w:footnoteReference w:id="3"/>
      </w:r>
    </w:p>
    <w:p w:rsidR="00F62686" w:rsidRDefault="00F62686">
      <w:pPr>
        <w:numPr>
          <w:ilvl w:val="0"/>
          <w:numId w:val="1"/>
        </w:numPr>
        <w:tabs>
          <w:tab w:val="clear" w:pos="1440"/>
          <w:tab w:val="left" w:pos="-720"/>
          <w:tab w:val="num" w:pos="0"/>
        </w:tabs>
        <w:spacing w:after="180" w:line="480" w:lineRule="auto"/>
        <w:ind w:left="0" w:firstLine="720"/>
        <w:jc w:val="both"/>
        <w:rPr>
          <w:spacing w:val="-3"/>
        </w:rPr>
      </w:pPr>
      <w:r>
        <w:rPr>
          <w:spacing w:val="-3"/>
        </w:rPr>
        <w:t>The plaintiff may refute the defendant’s allegations by showing that (1) she/he used reasonable and diligent efforts and was still unable to secure a comparable job; (2) comparable employment did not exist; or (3) his/her particular circumstances did not justify the acceptance of a dissimilar job.</w:t>
      </w:r>
      <w:r>
        <w:rPr>
          <w:rStyle w:val="FootnoteReference"/>
          <w:spacing w:val="-3"/>
        </w:rPr>
        <w:footnoteReference w:id="4"/>
      </w:r>
    </w:p>
    <w:p w:rsidR="00F62686" w:rsidRDefault="00F62686">
      <w:pPr>
        <w:tabs>
          <w:tab w:val="left" w:pos="-720"/>
        </w:tabs>
        <w:spacing w:after="180" w:line="480" w:lineRule="auto"/>
        <w:jc w:val="both"/>
        <w:rPr>
          <w:spacing w:val="-3"/>
        </w:rPr>
      </w:pPr>
      <w:r>
        <w:rPr>
          <w:spacing w:val="-3"/>
        </w:rPr>
        <w:br w:type="page"/>
      </w:r>
      <w:r>
        <w:rPr>
          <w:spacing w:val="-3"/>
        </w:rPr>
        <w:lastRenderedPageBreak/>
        <w:tab/>
        <w:t>6.</w:t>
      </w:r>
      <w:r>
        <w:rPr>
          <w:spacing w:val="-3"/>
        </w:rPr>
        <w:tab/>
        <w:t>In deciding whether a job is comparable, in general you are to consider the nature of the responsibilities and skills required, the rate of pay, and the location.  The plaintiff need not accept employment which is unsuitable and demeaning when compared with the job plaintiff (was denied/lost).</w:t>
      </w:r>
      <w:r>
        <w:rPr>
          <w:rStyle w:val="FootnoteReference"/>
          <w:spacing w:val="-3"/>
        </w:rPr>
        <w:footnoteReference w:id="5"/>
      </w:r>
    </w:p>
    <w:p w:rsidR="00F62686" w:rsidRDefault="00F62686">
      <w:pPr>
        <w:tabs>
          <w:tab w:val="left" w:pos="-720"/>
        </w:tabs>
        <w:spacing w:after="180" w:line="480" w:lineRule="auto"/>
        <w:jc w:val="both"/>
        <w:rPr>
          <w:spacing w:val="-3"/>
        </w:rPr>
      </w:pPr>
      <w:r>
        <w:rPr>
          <w:spacing w:val="-3"/>
        </w:rPr>
        <w:tab/>
        <w:t>7.</w:t>
      </w:r>
      <w:r>
        <w:rPr>
          <w:spacing w:val="-3"/>
        </w:rPr>
        <w:tab/>
        <w:t>In determining whether jobs are comparable, you may consider the following other factors:</w:t>
      </w:r>
      <w:r>
        <w:rPr>
          <w:rStyle w:val="FootnoteReference"/>
          <w:spacing w:val="-3"/>
        </w:rPr>
        <w:footnoteReference w:id="6"/>
      </w:r>
    </w:p>
    <w:p w:rsidR="00F62686" w:rsidRDefault="00F62686">
      <w:pPr>
        <w:tabs>
          <w:tab w:val="left" w:pos="-720"/>
        </w:tabs>
        <w:spacing w:after="180" w:line="480" w:lineRule="auto"/>
        <w:jc w:val="both"/>
        <w:rPr>
          <w:spacing w:val="-3"/>
        </w:rPr>
      </w:pPr>
      <w:r>
        <w:rPr>
          <w:spacing w:val="-3"/>
        </w:rPr>
        <w:tab/>
      </w:r>
      <w:r>
        <w:rPr>
          <w:spacing w:val="-3"/>
        </w:rPr>
        <w:tab/>
        <w:t>(1)</w:t>
      </w:r>
      <w:r>
        <w:rPr>
          <w:spacing w:val="-3"/>
        </w:rPr>
        <w:tab/>
        <w:t>the degree of risk involved to the plaintiff’s health and safety;</w:t>
      </w:r>
    </w:p>
    <w:p w:rsidR="00F62686" w:rsidRDefault="00F62686">
      <w:pPr>
        <w:tabs>
          <w:tab w:val="left" w:pos="-720"/>
        </w:tabs>
        <w:spacing w:after="180" w:line="480" w:lineRule="auto"/>
        <w:jc w:val="both"/>
        <w:rPr>
          <w:spacing w:val="-3"/>
        </w:rPr>
      </w:pPr>
      <w:r>
        <w:rPr>
          <w:spacing w:val="-3"/>
        </w:rPr>
        <w:tab/>
      </w:r>
      <w:r>
        <w:rPr>
          <w:spacing w:val="-3"/>
        </w:rPr>
        <w:tab/>
        <w:t>(2)</w:t>
      </w:r>
      <w:r>
        <w:rPr>
          <w:spacing w:val="-3"/>
        </w:rPr>
        <w:tab/>
        <w:t>the plaintiff’s physical fitness and prior training;</w:t>
      </w:r>
    </w:p>
    <w:p w:rsidR="00F62686" w:rsidRDefault="00F62686">
      <w:pPr>
        <w:tabs>
          <w:tab w:val="left" w:pos="-720"/>
        </w:tabs>
        <w:spacing w:after="180" w:line="480" w:lineRule="auto"/>
        <w:jc w:val="both"/>
        <w:rPr>
          <w:spacing w:val="-3"/>
        </w:rPr>
      </w:pPr>
      <w:r>
        <w:rPr>
          <w:spacing w:val="-3"/>
        </w:rPr>
        <w:tab/>
      </w:r>
      <w:r>
        <w:rPr>
          <w:spacing w:val="-3"/>
        </w:rPr>
        <w:tab/>
        <w:t>(3)</w:t>
      </w:r>
      <w:r>
        <w:rPr>
          <w:spacing w:val="-3"/>
        </w:rPr>
        <w:tab/>
        <w:t>the plaintiff’s work experience and prior earnings;</w:t>
      </w:r>
    </w:p>
    <w:p w:rsidR="00F62686" w:rsidRDefault="00F62686">
      <w:pPr>
        <w:tabs>
          <w:tab w:val="left" w:pos="-720"/>
        </w:tabs>
        <w:spacing w:after="180" w:line="480" w:lineRule="auto"/>
        <w:jc w:val="both"/>
        <w:rPr>
          <w:spacing w:val="-3"/>
        </w:rPr>
      </w:pPr>
      <w:r>
        <w:rPr>
          <w:spacing w:val="-3"/>
        </w:rPr>
        <w:tab/>
      </w:r>
      <w:r>
        <w:rPr>
          <w:spacing w:val="-3"/>
        </w:rPr>
        <w:tab/>
        <w:t>(4)</w:t>
      </w:r>
      <w:r>
        <w:rPr>
          <w:spacing w:val="-3"/>
        </w:rPr>
        <w:tab/>
        <w:t>the plaintiff’s length of unemployment;</w:t>
      </w:r>
    </w:p>
    <w:p w:rsidR="00F62686" w:rsidRDefault="00F62686">
      <w:pPr>
        <w:pStyle w:val="BodyTextIndent2"/>
        <w:numPr>
          <w:ilvl w:val="0"/>
          <w:numId w:val="2"/>
        </w:numPr>
        <w:tabs>
          <w:tab w:val="clear" w:pos="2520"/>
          <w:tab w:val="num" w:pos="2160"/>
        </w:tabs>
        <w:spacing w:line="240" w:lineRule="auto"/>
        <w:ind w:left="2160" w:hanging="720"/>
        <w:rPr>
          <w:sz w:val="28"/>
        </w:rPr>
      </w:pPr>
      <w:r>
        <w:rPr>
          <w:sz w:val="28"/>
        </w:rPr>
        <w:t>the plaintiff’s prospects for securing local work in plaintiff’s cu</w:t>
      </w:r>
      <w:r>
        <w:rPr>
          <w:sz w:val="28"/>
        </w:rPr>
        <w:t>s</w:t>
      </w:r>
      <w:r>
        <w:rPr>
          <w:sz w:val="28"/>
        </w:rPr>
        <w:t>tomary occupation; and</w:t>
      </w:r>
    </w:p>
    <w:p w:rsidR="00F62686" w:rsidRDefault="00F62686">
      <w:pPr>
        <w:tabs>
          <w:tab w:val="left" w:pos="-720"/>
        </w:tabs>
        <w:spacing w:after="180"/>
        <w:ind w:left="2160" w:hanging="720"/>
        <w:jc w:val="both"/>
        <w:rPr>
          <w:spacing w:val="-3"/>
        </w:rPr>
      </w:pPr>
      <w:r>
        <w:rPr>
          <w:spacing w:val="-3"/>
        </w:rPr>
        <w:t>(6)</w:t>
      </w:r>
      <w:r>
        <w:rPr>
          <w:spacing w:val="-3"/>
        </w:rPr>
        <w:tab/>
        <w:t>the distance of the available work from plaintiff’s residence.</w:t>
      </w:r>
      <w:r>
        <w:rPr>
          <w:rStyle w:val="FootnoteReference"/>
          <w:spacing w:val="-3"/>
        </w:rPr>
        <w:footnoteReference w:id="7"/>
      </w:r>
    </w:p>
    <w:p w:rsidR="009D476D" w:rsidRDefault="009D476D" w:rsidP="009D476D">
      <w:pPr>
        <w:tabs>
          <w:tab w:val="left" w:pos="-720"/>
        </w:tabs>
        <w:spacing w:after="180"/>
        <w:jc w:val="both"/>
        <w:rPr>
          <w:spacing w:val="-3"/>
        </w:rPr>
      </w:pPr>
    </w:p>
    <w:p w:rsidR="00F62686" w:rsidRDefault="00F62686">
      <w:pPr>
        <w:tabs>
          <w:tab w:val="left" w:pos="-720"/>
        </w:tabs>
        <w:spacing w:after="180" w:line="480" w:lineRule="auto"/>
        <w:jc w:val="both"/>
        <w:rPr>
          <w:spacing w:val="-3"/>
        </w:rPr>
      </w:pPr>
      <w:r>
        <w:rPr>
          <w:spacing w:val="-3"/>
        </w:rPr>
        <w:tab/>
        <w:t>8.</w:t>
      </w:r>
      <w:r>
        <w:rPr>
          <w:spacing w:val="-3"/>
        </w:rPr>
        <w:tab/>
        <w:t xml:space="preserve">Although the back pay award should be reduced by any actual earnings, it should not be reduced by any unemployment benefits or other unearned income the </w:t>
      </w:r>
      <w:r>
        <w:rPr>
          <w:spacing w:val="-3"/>
        </w:rPr>
        <w:lastRenderedPageBreak/>
        <w:t>plaintiff may have received.</w:t>
      </w:r>
      <w:r>
        <w:rPr>
          <w:rStyle w:val="FootnoteReference"/>
          <w:spacing w:val="-3"/>
        </w:rPr>
        <w:footnoteReference w:id="8"/>
      </w:r>
      <w:r>
        <w:rPr>
          <w:spacing w:val="-3"/>
        </w:rPr>
        <w:t xml:space="preserve">  This means that the plaintiff had an obligation to use reasonable and diligent efforts to seek other comparable employment, and to accept it, if it were offered.</w:t>
      </w:r>
    </w:p>
    <w:p w:rsidR="00F62686" w:rsidRDefault="00F62686">
      <w:pPr>
        <w:tabs>
          <w:tab w:val="left" w:pos="-720"/>
          <w:tab w:val="left" w:pos="0"/>
          <w:tab w:val="left" w:pos="720"/>
        </w:tabs>
        <w:spacing w:after="180" w:line="480" w:lineRule="auto"/>
        <w:ind w:left="1440" w:hanging="1440"/>
        <w:jc w:val="both"/>
        <w:rPr>
          <w:spacing w:val="-3"/>
        </w:rPr>
      </w:pPr>
      <w:r>
        <w:rPr>
          <w:b/>
          <w:spacing w:val="-3"/>
        </w:rPr>
        <w:tab/>
        <w:t>B.</w:t>
      </w:r>
      <w:r>
        <w:rPr>
          <w:b/>
          <w:spacing w:val="-3"/>
        </w:rPr>
        <w:tab/>
        <w:t>Lowered Sights Doctrine</w:t>
      </w:r>
      <w:r>
        <w:rPr>
          <w:rStyle w:val="FootnoteReference"/>
          <w:b/>
          <w:spacing w:val="-3"/>
        </w:rPr>
        <w:footnoteReference w:id="9"/>
      </w:r>
    </w:p>
    <w:p w:rsidR="00F62686" w:rsidRDefault="00F62686">
      <w:pPr>
        <w:tabs>
          <w:tab w:val="left" w:pos="-720"/>
        </w:tabs>
        <w:spacing w:after="180" w:line="480" w:lineRule="auto"/>
        <w:jc w:val="both"/>
        <w:rPr>
          <w:spacing w:val="-3"/>
        </w:rPr>
      </w:pPr>
      <w:r>
        <w:rPr>
          <w:spacing w:val="-3"/>
        </w:rPr>
        <w:tab/>
        <w:t>1.</w:t>
      </w:r>
      <w:r>
        <w:rPr>
          <w:spacing w:val="-3"/>
        </w:rPr>
        <w:tab/>
        <w:t>You are to bear in mind that the concept of job comparability is not a static or stationary one.  Instead, it may change with the passage of time and the state of the job market.</w:t>
      </w:r>
      <w:r>
        <w:rPr>
          <w:rStyle w:val="FootnoteReference"/>
          <w:spacing w:val="-3"/>
        </w:rPr>
        <w:footnoteReference w:id="10"/>
      </w:r>
    </w:p>
    <w:p w:rsidR="00F62686" w:rsidRDefault="00F62686">
      <w:pPr>
        <w:tabs>
          <w:tab w:val="left" w:pos="-720"/>
        </w:tabs>
        <w:spacing w:after="180" w:line="480" w:lineRule="auto"/>
        <w:jc w:val="both"/>
        <w:rPr>
          <w:spacing w:val="-3"/>
        </w:rPr>
      </w:pPr>
      <w:r>
        <w:rPr>
          <w:spacing w:val="-3"/>
        </w:rPr>
        <w:tab/>
        <w:t>2.</w:t>
      </w:r>
      <w:r>
        <w:rPr>
          <w:spacing w:val="-3"/>
        </w:rPr>
        <w:tab/>
        <w:t>This means that if the plaintiff has used diligent efforts over a reasonable period of time and has still been unable to obtain a position which is comparable, then she/he is required to lower his/her sights.</w:t>
      </w:r>
      <w:r>
        <w:rPr>
          <w:rStyle w:val="FootnoteReference"/>
          <w:spacing w:val="-3"/>
        </w:rPr>
        <w:footnoteReference w:id="11"/>
      </w:r>
    </w:p>
    <w:p w:rsidR="00F62686" w:rsidRDefault="007263BB">
      <w:pPr>
        <w:tabs>
          <w:tab w:val="left" w:pos="-720"/>
        </w:tabs>
        <w:spacing w:after="180" w:line="480" w:lineRule="auto"/>
        <w:jc w:val="both"/>
        <w:rPr>
          <w:spacing w:val="-3"/>
        </w:rPr>
      </w:pPr>
      <w:r>
        <w:rPr>
          <w:spacing w:val="-3"/>
        </w:rPr>
        <w:br w:type="page"/>
      </w:r>
      <w:r w:rsidR="00F62686">
        <w:rPr>
          <w:spacing w:val="-3"/>
        </w:rPr>
        <w:lastRenderedPageBreak/>
        <w:tab/>
        <w:t>3.</w:t>
      </w:r>
      <w:r w:rsidR="00F62686">
        <w:rPr>
          <w:spacing w:val="-3"/>
        </w:rPr>
        <w:tab/>
        <w:t>Lowering one’s sights means that with the passage of time and the lack of success in finding a comparable job, the plaintiff must begin considering jobs that offer lower pay, or require different types of skills and responsibilities, or are in a more distant location.</w:t>
      </w:r>
      <w:r w:rsidR="00F62686">
        <w:rPr>
          <w:rStyle w:val="FootnoteReference"/>
          <w:spacing w:val="-3"/>
        </w:rPr>
        <w:footnoteReference w:id="12"/>
      </w:r>
    </w:p>
    <w:p w:rsidR="00F62686" w:rsidRDefault="00F62686">
      <w:pPr>
        <w:tabs>
          <w:tab w:val="left" w:pos="-720"/>
        </w:tabs>
        <w:spacing w:after="180" w:line="480" w:lineRule="auto"/>
        <w:jc w:val="both"/>
        <w:rPr>
          <w:spacing w:val="-3"/>
        </w:rPr>
      </w:pPr>
      <w:r>
        <w:rPr>
          <w:spacing w:val="-3"/>
        </w:rPr>
        <w:tab/>
        <w:t>4.</w:t>
      </w:r>
      <w:r>
        <w:rPr>
          <w:spacing w:val="-3"/>
        </w:rPr>
        <w:tab/>
        <w:t>However, the doctrine of lowering one’s sights should not be automat</w:t>
      </w:r>
      <w:r>
        <w:rPr>
          <w:spacing w:val="-3"/>
        </w:rPr>
        <w:t>i</w:t>
      </w:r>
      <w:r>
        <w:rPr>
          <w:spacing w:val="-3"/>
        </w:rPr>
        <w:t>cally applied, and, in addition to the passage of time, you should consider the plai</w:t>
      </w:r>
      <w:r>
        <w:rPr>
          <w:spacing w:val="-3"/>
        </w:rPr>
        <w:t>n</w:t>
      </w:r>
      <w:r>
        <w:rPr>
          <w:spacing w:val="-3"/>
        </w:rPr>
        <w:t>tiff’s individual circumstances, including, but not limited to:  other skills or qualific</w:t>
      </w:r>
      <w:r>
        <w:rPr>
          <w:spacing w:val="-3"/>
        </w:rPr>
        <w:t>a</w:t>
      </w:r>
      <w:r>
        <w:rPr>
          <w:spacing w:val="-3"/>
        </w:rPr>
        <w:t>tions of the person; whether the person’s family status reasonably justifies enlarging the geographic area wherein work is sought; the amount of salary reduction; the type of alternate employment; and the impact of these factors on the plaintiff’s future.</w:t>
      </w:r>
      <w:r>
        <w:rPr>
          <w:rStyle w:val="FootnoteReference"/>
          <w:spacing w:val="-3"/>
        </w:rPr>
        <w:footnoteReference w:id="13"/>
      </w:r>
      <w:r>
        <w:rPr>
          <w:spacing w:val="-3"/>
        </w:rPr>
        <w:t xml:space="preserve"> </w:t>
      </w:r>
    </w:p>
    <w:p w:rsidR="00F62686" w:rsidRDefault="00F62686">
      <w:pPr>
        <w:tabs>
          <w:tab w:val="left" w:pos="-720"/>
        </w:tabs>
        <w:spacing w:after="180" w:line="480" w:lineRule="auto"/>
        <w:jc w:val="both"/>
        <w:rPr>
          <w:spacing w:val="-3"/>
        </w:rPr>
      </w:pPr>
      <w:r>
        <w:rPr>
          <w:spacing w:val="-3"/>
        </w:rPr>
        <w:tab/>
        <w:t>5.</w:t>
      </w:r>
      <w:r>
        <w:rPr>
          <w:spacing w:val="-3"/>
        </w:rPr>
        <w:tab/>
        <w:t>If you find that plaintiff has lowered his/her sights and still cannot find a job, no reduction in back pay is warranted.</w:t>
      </w:r>
      <w:r>
        <w:rPr>
          <w:rStyle w:val="FootnoteReference"/>
          <w:spacing w:val="-3"/>
        </w:rPr>
        <w:footnoteReference w:id="14"/>
      </w:r>
      <w:r>
        <w:rPr>
          <w:spacing w:val="-3"/>
        </w:rPr>
        <w:t xml:space="preserve">  </w:t>
      </w:r>
    </w:p>
    <w:p w:rsidR="00F62686" w:rsidRDefault="007263BB">
      <w:pPr>
        <w:tabs>
          <w:tab w:val="left" w:pos="-720"/>
        </w:tabs>
        <w:spacing w:after="180" w:line="480" w:lineRule="auto"/>
        <w:jc w:val="both"/>
        <w:rPr>
          <w:spacing w:val="-3"/>
        </w:rPr>
      </w:pPr>
      <w:r>
        <w:rPr>
          <w:spacing w:val="-3"/>
        </w:rPr>
        <w:br w:type="page"/>
      </w:r>
      <w:r w:rsidR="00F62686">
        <w:rPr>
          <w:spacing w:val="-3"/>
        </w:rPr>
        <w:lastRenderedPageBreak/>
        <w:tab/>
        <w:t>6.</w:t>
      </w:r>
      <w:r w:rsidR="00F62686">
        <w:rPr>
          <w:spacing w:val="-3"/>
        </w:rPr>
        <w:tab/>
        <w:t>If you conclude that the award of back pay to plaintiff should be reduced, the amount of the reduction must be the greater of either (1) plaintiff’s actual earnings or (2) the earnings plaintiff should have earned if she/he had obtained employment after lowering his/her sights.</w:t>
      </w:r>
      <w:r w:rsidR="00F62686">
        <w:rPr>
          <w:rStyle w:val="FootnoteReference"/>
          <w:spacing w:val="-3"/>
        </w:rPr>
        <w:footnoteReference w:id="15"/>
      </w:r>
      <w:r w:rsidR="00F62686">
        <w:rPr>
          <w:spacing w:val="-3"/>
        </w:rPr>
        <w:t xml:space="preserve">  </w:t>
      </w:r>
    </w:p>
    <w:p w:rsidR="00F62686" w:rsidRDefault="00F62686">
      <w:pPr>
        <w:keepNext/>
        <w:keepLines/>
        <w:tabs>
          <w:tab w:val="left" w:pos="-720"/>
          <w:tab w:val="left" w:pos="0"/>
          <w:tab w:val="left" w:pos="720"/>
        </w:tabs>
        <w:spacing w:after="180" w:line="480" w:lineRule="auto"/>
        <w:ind w:left="1440" w:hanging="1440"/>
        <w:jc w:val="both"/>
        <w:rPr>
          <w:spacing w:val="-3"/>
        </w:rPr>
      </w:pPr>
      <w:r>
        <w:rPr>
          <w:b/>
          <w:spacing w:val="-3"/>
        </w:rPr>
        <w:tab/>
        <w:t>C.</w:t>
      </w:r>
      <w:r>
        <w:rPr>
          <w:b/>
          <w:spacing w:val="-3"/>
        </w:rPr>
        <w:tab/>
        <w:t>Effect of Voluntary Termination of Subsequent Employment</w:t>
      </w:r>
    </w:p>
    <w:p w:rsidR="00F62686" w:rsidRDefault="00F62686">
      <w:pPr>
        <w:keepLines/>
        <w:tabs>
          <w:tab w:val="left" w:pos="-720"/>
        </w:tabs>
        <w:spacing w:after="180" w:line="480" w:lineRule="auto"/>
        <w:jc w:val="both"/>
        <w:rPr>
          <w:spacing w:val="-3"/>
        </w:rPr>
      </w:pPr>
      <w:r>
        <w:rPr>
          <w:spacing w:val="-3"/>
        </w:rPr>
        <w:tab/>
        <w:t>1.</w:t>
      </w:r>
      <w:r>
        <w:rPr>
          <w:spacing w:val="-3"/>
        </w:rPr>
        <w:tab/>
        <w:t xml:space="preserve">The evidence in this case reveals that plaintiff obtained subsequent employment.  However, plaintiff then quit his/her new employment.  The defendant alleges that plaintiff quit that employment without good cause.  If you find that the defendant has proven, by a preponderance of the evidence, that plaintiff quit his/her subsequent employment </w:t>
      </w:r>
      <w:r>
        <w:rPr>
          <w:spacing w:val="-3"/>
          <w:u w:val="single"/>
        </w:rPr>
        <w:t>without good cause</w:t>
      </w:r>
      <w:r>
        <w:rPr>
          <w:spacing w:val="-3"/>
        </w:rPr>
        <w:t>, you are to deem the plaintiff to have voluntarily incurred the resultant losses.  Consequently, any back pay award you make in favor of the plaintiff must be reduced by the wages she/he could have continued to earn in the subsequent employment if she/he had not quit.</w:t>
      </w:r>
    </w:p>
    <w:p w:rsidR="00F62686" w:rsidRDefault="00F62686">
      <w:pPr>
        <w:tabs>
          <w:tab w:val="left" w:pos="-720"/>
        </w:tabs>
        <w:spacing w:after="180" w:line="480" w:lineRule="auto"/>
        <w:jc w:val="both"/>
        <w:rPr>
          <w:spacing w:val="-3"/>
        </w:rPr>
      </w:pPr>
      <w:r>
        <w:rPr>
          <w:spacing w:val="-3"/>
        </w:rPr>
        <w:tab/>
        <w:t>2.</w:t>
      </w:r>
      <w:r>
        <w:rPr>
          <w:spacing w:val="-3"/>
        </w:rPr>
        <w:tab/>
        <w:t>For purposes of determining whether the plaintiff quit his/her subsequent employment for good cause, you may consider, by way of example, not limitation, the following factors:  unsafe or unhealthful working conditions; harassment or discrim</w:t>
      </w:r>
      <w:r>
        <w:rPr>
          <w:spacing w:val="-3"/>
        </w:rPr>
        <w:t>i</w:t>
      </w:r>
      <w:r>
        <w:rPr>
          <w:spacing w:val="-3"/>
        </w:rPr>
        <w:t xml:space="preserve">nation; and any other reason that would warrant a reasonable employee to discontinue </w:t>
      </w:r>
      <w:r>
        <w:rPr>
          <w:spacing w:val="-3"/>
        </w:rPr>
        <w:lastRenderedPageBreak/>
        <w:t>his/her employment.</w:t>
      </w:r>
      <w:r>
        <w:rPr>
          <w:rStyle w:val="FootnoteReference"/>
          <w:spacing w:val="-3"/>
        </w:rPr>
        <w:footnoteReference w:id="16"/>
      </w:r>
    </w:p>
    <w:p w:rsidR="00F62686" w:rsidRDefault="00F62686">
      <w:pPr>
        <w:tabs>
          <w:tab w:val="left" w:pos="-720"/>
        </w:tabs>
        <w:spacing w:after="180" w:line="480" w:lineRule="auto"/>
        <w:jc w:val="both"/>
        <w:rPr>
          <w:spacing w:val="-3"/>
        </w:rPr>
      </w:pPr>
      <w:r>
        <w:rPr>
          <w:spacing w:val="-3"/>
        </w:rPr>
        <w:tab/>
        <w:t>3.</w:t>
      </w:r>
      <w:r>
        <w:rPr>
          <w:spacing w:val="-3"/>
        </w:rPr>
        <w:tab/>
        <w:t>If you find that the defendant failed to prove, by a preponderance of the evidence, that plaintiff quit his/her subsequent employment without good cause, you may award plaintiff back pay damages which are reduced only by subsequent wages actually earned.  You may not reduce said damages by the amount plaintiff could have earned.</w:t>
      </w:r>
    </w:p>
    <w:p w:rsidR="00F62686" w:rsidRDefault="00F62686">
      <w:pPr>
        <w:tabs>
          <w:tab w:val="left" w:pos="-720"/>
          <w:tab w:val="left" w:pos="0"/>
          <w:tab w:val="left" w:pos="720"/>
        </w:tabs>
        <w:spacing w:after="180"/>
        <w:ind w:left="1440" w:hanging="1440"/>
        <w:jc w:val="both"/>
        <w:rPr>
          <w:b/>
          <w:spacing w:val="-3"/>
        </w:rPr>
      </w:pPr>
      <w:r>
        <w:rPr>
          <w:b/>
          <w:spacing w:val="-3"/>
        </w:rPr>
        <w:tab/>
        <w:t>D.</w:t>
      </w:r>
      <w:r>
        <w:rPr>
          <w:b/>
          <w:spacing w:val="-3"/>
        </w:rPr>
        <w:tab/>
        <w:t>Effect of Unconditional Offer of Employment or Re-employment by Defendant Employer</w:t>
      </w:r>
    </w:p>
    <w:p w:rsidR="00F62686" w:rsidRDefault="00F62686">
      <w:pPr>
        <w:tabs>
          <w:tab w:val="left" w:pos="-720"/>
          <w:tab w:val="left" w:pos="0"/>
          <w:tab w:val="left" w:pos="720"/>
        </w:tabs>
        <w:spacing w:after="180"/>
        <w:ind w:left="720" w:hanging="720"/>
        <w:jc w:val="both"/>
        <w:rPr>
          <w:spacing w:val="-3"/>
        </w:rPr>
      </w:pPr>
    </w:p>
    <w:p w:rsidR="00F62686" w:rsidRDefault="00F62686">
      <w:pPr>
        <w:tabs>
          <w:tab w:val="left" w:pos="-720"/>
          <w:tab w:val="left" w:pos="0"/>
          <w:tab w:val="left" w:pos="720"/>
        </w:tabs>
        <w:spacing w:after="180"/>
        <w:ind w:left="720" w:hanging="720"/>
        <w:jc w:val="center"/>
        <w:rPr>
          <w:b/>
          <w:bCs/>
          <w:i/>
          <w:iCs/>
          <w:spacing w:val="-3"/>
        </w:rPr>
      </w:pPr>
      <w:r>
        <w:rPr>
          <w:b/>
          <w:bCs/>
          <w:i/>
          <w:iCs/>
          <w:spacing w:val="-3"/>
        </w:rPr>
        <w:t>NOTE TO JUDGE</w:t>
      </w:r>
    </w:p>
    <w:p w:rsidR="00F62686" w:rsidRDefault="00F62686">
      <w:pPr>
        <w:pStyle w:val="FootnoteText"/>
        <w:tabs>
          <w:tab w:val="left" w:pos="-720"/>
        </w:tabs>
        <w:suppressAutoHyphens/>
        <w:spacing w:after="240"/>
        <w:ind w:left="1440" w:right="1440"/>
        <w:jc w:val="both"/>
        <w:rPr>
          <w:spacing w:val="-2"/>
          <w:sz w:val="28"/>
        </w:rPr>
      </w:pPr>
      <w:r>
        <w:rPr>
          <w:spacing w:val="-2"/>
          <w:sz w:val="28"/>
        </w:rPr>
        <w:t>This charge is to be used in the relatively rare instance where the de</w:t>
      </w:r>
      <w:r w:rsidR="00245076">
        <w:rPr>
          <w:spacing w:val="-2"/>
          <w:sz w:val="28"/>
        </w:rPr>
        <w:t xml:space="preserve">fendant employer has offered </w:t>
      </w:r>
      <w:r>
        <w:rPr>
          <w:spacing w:val="-2"/>
          <w:sz w:val="28"/>
        </w:rPr>
        <w:t xml:space="preserve">either </w:t>
      </w:r>
      <w:r w:rsidR="00245076">
        <w:rPr>
          <w:spacing w:val="-2"/>
          <w:sz w:val="28"/>
        </w:rPr>
        <w:t xml:space="preserve">to </w:t>
      </w:r>
      <w:r>
        <w:rPr>
          <w:spacing w:val="-2"/>
          <w:sz w:val="28"/>
        </w:rPr>
        <w:t>(a) hire plaintiff for the position applied for; or (b) reinstate plaintiff to the position from which he/she was terminated.</w:t>
      </w:r>
    </w:p>
    <w:p w:rsidR="00F62686" w:rsidRDefault="009D476D">
      <w:pPr>
        <w:pStyle w:val="FootnoteText"/>
        <w:tabs>
          <w:tab w:val="left" w:pos="-720"/>
        </w:tabs>
        <w:suppressAutoHyphens/>
        <w:spacing w:after="240"/>
        <w:ind w:left="1440" w:right="1440"/>
        <w:jc w:val="both"/>
        <w:rPr>
          <w:spacing w:val="-2"/>
          <w:sz w:val="28"/>
        </w:rPr>
      </w:pPr>
      <w:r>
        <w:rPr>
          <w:spacing w:val="-2"/>
          <w:sz w:val="28"/>
        </w:rPr>
        <w:br w:type="page"/>
      </w:r>
    </w:p>
    <w:p w:rsidR="00F62686" w:rsidRDefault="00F62686">
      <w:pPr>
        <w:tabs>
          <w:tab w:val="left" w:pos="-720"/>
        </w:tabs>
        <w:spacing w:after="180" w:line="480" w:lineRule="auto"/>
        <w:jc w:val="both"/>
        <w:rPr>
          <w:spacing w:val="-3"/>
        </w:rPr>
      </w:pPr>
      <w:r>
        <w:rPr>
          <w:spacing w:val="-3"/>
        </w:rPr>
        <w:lastRenderedPageBreak/>
        <w:tab/>
        <w:t>1.</w:t>
      </w:r>
      <w:r>
        <w:rPr>
          <w:spacing w:val="-3"/>
        </w:rPr>
        <w:tab/>
        <w:t>The evidence in this case reveals that, subsequent to the defendant’s (refusal to hire plaintiff/termination of plaintiff’s employment), the defendant then offered to (hire plaintiff for the position sought/reinstate plaintiff to his/her former position).  Absent special circumstances, for purposes of determining the period of back pay to which plaintiff is entitled in this matter, such an offer from the defendant employer terminates the running of the back-pay period so long as the offer is uncond</w:t>
      </w:r>
      <w:r>
        <w:rPr>
          <w:spacing w:val="-3"/>
        </w:rPr>
        <w:t>i</w:t>
      </w:r>
      <w:r>
        <w:rPr>
          <w:spacing w:val="-3"/>
        </w:rPr>
        <w:t>tional.</w:t>
      </w:r>
      <w:r>
        <w:rPr>
          <w:rStyle w:val="FootnoteReference"/>
          <w:spacing w:val="-3"/>
        </w:rPr>
        <w:footnoteReference w:id="17"/>
      </w:r>
      <w:r>
        <w:rPr>
          <w:spacing w:val="-3"/>
        </w:rPr>
        <w:t xml:space="preserve">  </w:t>
      </w:r>
    </w:p>
    <w:p w:rsidR="00F62686" w:rsidRDefault="00F62686">
      <w:pPr>
        <w:tabs>
          <w:tab w:val="left" w:pos="-720"/>
        </w:tabs>
        <w:spacing w:after="180" w:line="480" w:lineRule="auto"/>
        <w:jc w:val="both"/>
        <w:rPr>
          <w:spacing w:val="-3"/>
        </w:rPr>
      </w:pPr>
      <w:r>
        <w:rPr>
          <w:spacing w:val="-3"/>
        </w:rPr>
        <w:tab/>
        <w:t>2.</w:t>
      </w:r>
      <w:r>
        <w:rPr>
          <w:spacing w:val="-3"/>
        </w:rPr>
        <w:tab/>
        <w:t xml:space="preserve">The offer of (employment/re-employment) need not be accompanied by, </w:t>
      </w:r>
      <w:r>
        <w:rPr>
          <w:i/>
          <w:iCs/>
          <w:spacing w:val="-3"/>
        </w:rPr>
        <w:t>e.g</w:t>
      </w:r>
      <w:r>
        <w:rPr>
          <w:spacing w:val="-3"/>
        </w:rPr>
        <w:t xml:space="preserve">., an offer of retroactive seniority or back pay to qualify as an unconditional offer.  If, however, the offer from the defendant employer to (hire plaintiff for the position sought/reinstate plaintiff to the position from which he/she was terminated), is subject to the plaintiff’s agreement to dismiss or waive continued pursuit of his/her LAD claims, the offer </w:t>
      </w:r>
      <w:r>
        <w:rPr>
          <w:spacing w:val="-3"/>
          <w:u w:val="single"/>
        </w:rPr>
        <w:t>is</w:t>
      </w:r>
      <w:r>
        <w:rPr>
          <w:spacing w:val="-3"/>
        </w:rPr>
        <w:t xml:space="preserve"> conditional and does not terminate the running of the back-pay period.</w:t>
      </w:r>
      <w:r>
        <w:rPr>
          <w:rStyle w:val="FootnoteReference"/>
          <w:spacing w:val="-3"/>
        </w:rPr>
        <w:footnoteReference w:id="18"/>
      </w:r>
      <w:r>
        <w:rPr>
          <w:spacing w:val="-3"/>
        </w:rPr>
        <w:t xml:space="preserve">  </w:t>
      </w:r>
    </w:p>
    <w:p w:rsidR="009D476D" w:rsidRDefault="009D476D">
      <w:pPr>
        <w:tabs>
          <w:tab w:val="left" w:pos="-720"/>
        </w:tabs>
        <w:spacing w:after="180" w:line="480" w:lineRule="auto"/>
        <w:jc w:val="both"/>
        <w:rPr>
          <w:spacing w:val="-3"/>
        </w:rPr>
      </w:pPr>
      <w:r>
        <w:rPr>
          <w:spacing w:val="-3"/>
        </w:rPr>
        <w:br w:type="page"/>
      </w:r>
    </w:p>
    <w:p w:rsidR="00F62686" w:rsidRDefault="00F62686">
      <w:pPr>
        <w:numPr>
          <w:ilvl w:val="0"/>
          <w:numId w:val="3"/>
        </w:numPr>
        <w:tabs>
          <w:tab w:val="left" w:pos="-720"/>
          <w:tab w:val="left" w:pos="0"/>
          <w:tab w:val="left" w:pos="720"/>
        </w:tabs>
        <w:spacing w:after="180" w:line="480" w:lineRule="auto"/>
        <w:jc w:val="both"/>
        <w:rPr>
          <w:b/>
          <w:spacing w:val="-3"/>
        </w:rPr>
      </w:pPr>
      <w:r>
        <w:rPr>
          <w:b/>
          <w:spacing w:val="-3"/>
        </w:rPr>
        <w:lastRenderedPageBreak/>
        <w:t>Impact of Finding of No Constructive Discharge</w:t>
      </w:r>
    </w:p>
    <w:p w:rsidR="00F62686" w:rsidRDefault="00F62686">
      <w:pPr>
        <w:pStyle w:val="FootnoteText"/>
        <w:tabs>
          <w:tab w:val="left" w:pos="-720"/>
        </w:tabs>
        <w:spacing w:after="240"/>
        <w:ind w:left="1440" w:right="1440"/>
        <w:jc w:val="center"/>
        <w:rPr>
          <w:b/>
          <w:bCs/>
          <w:i/>
          <w:iCs/>
          <w:spacing w:val="-2"/>
          <w:sz w:val="28"/>
        </w:rPr>
      </w:pPr>
      <w:r>
        <w:rPr>
          <w:b/>
          <w:bCs/>
          <w:i/>
          <w:iCs/>
          <w:spacing w:val="-2"/>
          <w:sz w:val="28"/>
        </w:rPr>
        <w:t>NOTE TO JUDGE</w:t>
      </w:r>
    </w:p>
    <w:p w:rsidR="00663C43" w:rsidRDefault="00F62686">
      <w:pPr>
        <w:pStyle w:val="FootnoteText"/>
        <w:tabs>
          <w:tab w:val="left" w:pos="-720"/>
        </w:tabs>
        <w:spacing w:after="240"/>
        <w:ind w:left="1440" w:right="1440"/>
        <w:jc w:val="both"/>
        <w:rPr>
          <w:spacing w:val="-2"/>
          <w:sz w:val="28"/>
        </w:rPr>
      </w:pPr>
      <w:r>
        <w:rPr>
          <w:spacing w:val="-2"/>
          <w:sz w:val="28"/>
        </w:rPr>
        <w:t>This charge is to be given at the end of the general charge regarding constructive discharge.</w:t>
      </w:r>
    </w:p>
    <w:p w:rsidR="00F62686" w:rsidRDefault="00F62686">
      <w:pPr>
        <w:pStyle w:val="FootnoteText"/>
        <w:tabs>
          <w:tab w:val="left" w:pos="-720"/>
        </w:tabs>
        <w:spacing w:after="240"/>
        <w:ind w:left="1440" w:right="1440"/>
        <w:jc w:val="both"/>
        <w:rPr>
          <w:spacing w:val="-2"/>
          <w:sz w:val="28"/>
        </w:rPr>
      </w:pPr>
    </w:p>
    <w:p w:rsidR="00F62686" w:rsidRDefault="00F62686">
      <w:pPr>
        <w:tabs>
          <w:tab w:val="left" w:pos="-720"/>
        </w:tabs>
        <w:spacing w:after="180" w:line="480" w:lineRule="auto"/>
        <w:jc w:val="both"/>
        <w:rPr>
          <w:spacing w:val="-4"/>
        </w:rPr>
      </w:pPr>
      <w:r>
        <w:rPr>
          <w:spacing w:val="-3"/>
        </w:rPr>
        <w:tab/>
      </w:r>
      <w:r>
        <w:rPr>
          <w:spacing w:val="-4"/>
        </w:rPr>
        <w:t>If you find that plaintiff has failed to prove, by a preponderance of the evidence, that she/he was constructively discharged as the result of intolerable conditions created brought about, or tolerated by the defendant employer, then you must deny plaintiff’s claim for damages, and rule in favor of the defendant employer on all causes of action based on such constructive discharge.</w:t>
      </w:r>
      <w:r>
        <w:rPr>
          <w:rStyle w:val="FootnoteReference"/>
          <w:spacing w:val="-4"/>
        </w:rPr>
        <w:footnoteReference w:id="19"/>
      </w:r>
      <w:r>
        <w:rPr>
          <w:spacing w:val="-4"/>
        </w:rPr>
        <w:t xml:space="preserve">  </w:t>
      </w:r>
    </w:p>
    <w:sectPr w:rsidR="00F62686" w:rsidSect="00E022BB">
      <w:headerReference w:type="even" r:id="rId8"/>
      <w:headerReference w:type="default" r:id="rId9"/>
      <w:endnotePr>
        <w:numFmt w:val="decimal"/>
      </w:endnotePr>
      <w:type w:val="continuous"/>
      <w:pgSz w:w="12240" w:h="15840" w:code="1"/>
      <w:pgMar w:top="1008" w:right="990" w:bottom="1440" w:left="1440" w:header="1440" w:footer="1440" w:gutter="28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B01" w:rsidRDefault="003C6B01">
      <w:pPr>
        <w:widowControl/>
        <w:spacing w:line="20" w:lineRule="exact"/>
        <w:rPr>
          <w:sz w:val="24"/>
        </w:rPr>
      </w:pPr>
    </w:p>
  </w:endnote>
  <w:endnote w:type="continuationSeparator" w:id="0">
    <w:p w:rsidR="003C6B01" w:rsidRDefault="003C6B01">
      <w:r>
        <w:rPr>
          <w:sz w:val="24"/>
        </w:rPr>
        <w:t xml:space="preserve"> </w:t>
      </w:r>
    </w:p>
  </w:endnote>
  <w:endnote w:type="continuationNotice" w:id="1">
    <w:p w:rsidR="003C6B01" w:rsidRDefault="003C6B0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B01" w:rsidRDefault="003C6B01">
      <w:pPr>
        <w:pStyle w:val="EndnoteText"/>
      </w:pPr>
      <w:r>
        <w:separator/>
      </w:r>
    </w:p>
  </w:footnote>
  <w:footnote w:type="continuationSeparator" w:id="0">
    <w:p w:rsidR="003C6B01" w:rsidRDefault="003C6B01">
      <w:r>
        <w:continuationSeparator/>
      </w:r>
    </w:p>
  </w:footnote>
  <w:footnote w:id="1">
    <w:p w:rsidR="00F62686" w:rsidRDefault="00F62686">
      <w:pPr>
        <w:pStyle w:val="FootnoteText"/>
        <w:jc w:val="both"/>
      </w:pPr>
      <w:r>
        <w:t xml:space="preserve">     </w:t>
      </w:r>
      <w:r>
        <w:rPr>
          <w:rStyle w:val="FootnoteReference"/>
        </w:rPr>
        <w:footnoteRef/>
      </w:r>
      <w:r>
        <w:t xml:space="preserve"> </w:t>
      </w:r>
      <w:r>
        <w:rPr>
          <w:i/>
          <w:spacing w:val="-3"/>
        </w:rPr>
        <w:t>Goodman v. London Metals Exchange, Inc., 86 N.J. 19, 34 (1981)</w:t>
      </w:r>
      <w:r>
        <w:rPr>
          <w:spacing w:val="-3"/>
        </w:rPr>
        <w:t xml:space="preserve">; </w:t>
      </w:r>
      <w:r>
        <w:rPr>
          <w:i/>
          <w:spacing w:val="-3"/>
        </w:rPr>
        <w:t>Sandler v. Lawn-A-Mat Chem. and Equip. Corp.</w:t>
      </w:r>
      <w:r>
        <w:rPr>
          <w:spacing w:val="-3"/>
        </w:rPr>
        <w:t xml:space="preserve">, 141 </w:t>
      </w:r>
      <w:r>
        <w:rPr>
          <w:i/>
          <w:spacing w:val="-3"/>
        </w:rPr>
        <w:t>N.J. Super.</w:t>
      </w:r>
      <w:r>
        <w:rPr>
          <w:spacing w:val="-3"/>
        </w:rPr>
        <w:t xml:space="preserve"> 437, 455 (App. Div.), </w:t>
      </w:r>
      <w:r>
        <w:rPr>
          <w:i/>
          <w:spacing w:val="-3"/>
        </w:rPr>
        <w:t>certif. den.</w:t>
      </w:r>
      <w:r>
        <w:rPr>
          <w:spacing w:val="-3"/>
        </w:rPr>
        <w:t xml:space="preserve">, 71 </w:t>
      </w:r>
      <w:r>
        <w:rPr>
          <w:i/>
          <w:spacing w:val="-3"/>
        </w:rPr>
        <w:t>N.J.</w:t>
      </w:r>
      <w:r>
        <w:rPr>
          <w:spacing w:val="-3"/>
        </w:rPr>
        <w:t xml:space="preserve"> 503 (1976); </w:t>
      </w:r>
      <w:proofErr w:type="spellStart"/>
      <w:r>
        <w:rPr>
          <w:i/>
          <w:spacing w:val="-3"/>
        </w:rPr>
        <w:t>Rogozinski</w:t>
      </w:r>
      <w:proofErr w:type="spellEnd"/>
      <w:r>
        <w:rPr>
          <w:i/>
          <w:spacing w:val="-3"/>
        </w:rPr>
        <w:t xml:space="preserve"> v. Airstream by Angell</w:t>
      </w:r>
      <w:r>
        <w:rPr>
          <w:spacing w:val="-3"/>
        </w:rPr>
        <w:t xml:space="preserve">, 152 </w:t>
      </w:r>
      <w:r>
        <w:rPr>
          <w:i/>
          <w:spacing w:val="-3"/>
        </w:rPr>
        <w:t>N.J. Super.</w:t>
      </w:r>
      <w:r>
        <w:rPr>
          <w:spacing w:val="-3"/>
        </w:rPr>
        <w:t xml:space="preserve"> 133, 158 (Law Div. 1977), </w:t>
      </w:r>
      <w:r>
        <w:rPr>
          <w:i/>
          <w:spacing w:val="-3"/>
        </w:rPr>
        <w:t>modified</w:t>
      </w:r>
      <w:r>
        <w:rPr>
          <w:spacing w:val="-3"/>
        </w:rPr>
        <w:t xml:space="preserve">, 164 </w:t>
      </w:r>
      <w:r>
        <w:rPr>
          <w:i/>
          <w:spacing w:val="-3"/>
        </w:rPr>
        <w:t>N.J. Super.</w:t>
      </w:r>
      <w:r>
        <w:rPr>
          <w:spacing w:val="-3"/>
        </w:rPr>
        <w:t xml:space="preserve"> 465 (App. Div. 1979).</w:t>
      </w:r>
    </w:p>
    <w:p w:rsidR="00F62686" w:rsidRDefault="00F62686">
      <w:pPr>
        <w:pStyle w:val="FootnoteText"/>
      </w:pPr>
    </w:p>
  </w:footnote>
  <w:footnote w:id="2">
    <w:p w:rsidR="00F62686" w:rsidRDefault="00F62686">
      <w:pPr>
        <w:pStyle w:val="FootnoteText"/>
        <w:rPr>
          <w:spacing w:val="-3"/>
        </w:rPr>
      </w:pPr>
      <w:r>
        <w:t xml:space="preserve">     </w:t>
      </w:r>
      <w:r>
        <w:rPr>
          <w:rStyle w:val="FootnoteReference"/>
        </w:rPr>
        <w:footnoteRef/>
      </w:r>
      <w:r>
        <w:t xml:space="preserve"> </w:t>
      </w:r>
      <w:r>
        <w:rPr>
          <w:i/>
          <w:spacing w:val="-3"/>
        </w:rPr>
        <w:t>Goodman</w:t>
      </w:r>
      <w:r>
        <w:rPr>
          <w:spacing w:val="-3"/>
        </w:rPr>
        <w:t xml:space="preserve">, 86 </w:t>
      </w:r>
      <w:r>
        <w:rPr>
          <w:i/>
          <w:spacing w:val="-3"/>
        </w:rPr>
        <w:t>N.J</w:t>
      </w:r>
      <w:r>
        <w:rPr>
          <w:spacing w:val="-3"/>
        </w:rPr>
        <w:t xml:space="preserve">. at 40; </w:t>
      </w:r>
      <w:r>
        <w:rPr>
          <w:i/>
          <w:spacing w:val="-3"/>
        </w:rPr>
        <w:t>Sandler</w:t>
      </w:r>
      <w:r>
        <w:rPr>
          <w:spacing w:val="-3"/>
        </w:rPr>
        <w:t xml:space="preserve">, 141 </w:t>
      </w:r>
      <w:r>
        <w:rPr>
          <w:i/>
          <w:spacing w:val="-3"/>
        </w:rPr>
        <w:t>N.J. Super.</w:t>
      </w:r>
      <w:r>
        <w:rPr>
          <w:spacing w:val="-3"/>
        </w:rPr>
        <w:t xml:space="preserve"> at 455; </w:t>
      </w:r>
      <w:smartTag w:uri="urn:schemas-microsoft-com:office:smarttags" w:element="City">
        <w:r>
          <w:rPr>
            <w:i/>
            <w:spacing w:val="-3"/>
          </w:rPr>
          <w:t>Roselle</w:t>
        </w:r>
      </w:smartTag>
      <w:r>
        <w:rPr>
          <w:i/>
          <w:spacing w:val="-3"/>
        </w:rPr>
        <w:t xml:space="preserve"> v. La </w:t>
      </w:r>
      <w:proofErr w:type="spellStart"/>
      <w:r>
        <w:rPr>
          <w:i/>
          <w:spacing w:val="-3"/>
        </w:rPr>
        <w:t>Fera</w:t>
      </w:r>
      <w:proofErr w:type="spellEnd"/>
      <w:r>
        <w:rPr>
          <w:i/>
          <w:spacing w:val="-3"/>
        </w:rPr>
        <w:t xml:space="preserve"> Contracting </w:t>
      </w:r>
      <w:smartTag w:uri="urn:schemas-microsoft-com:office:smarttags" w:element="place">
        <w:r>
          <w:rPr>
            <w:i/>
            <w:spacing w:val="-3"/>
          </w:rPr>
          <w:t>Co.</w:t>
        </w:r>
      </w:smartTag>
      <w:r>
        <w:rPr>
          <w:spacing w:val="-3"/>
        </w:rPr>
        <w:t xml:space="preserve">, 18 </w:t>
      </w:r>
      <w:r>
        <w:rPr>
          <w:i/>
          <w:spacing w:val="-3"/>
        </w:rPr>
        <w:t>N.J. Super.</w:t>
      </w:r>
      <w:r>
        <w:rPr>
          <w:spacing w:val="-3"/>
        </w:rPr>
        <w:t xml:space="preserve"> 19, 28 (Ch. Div. 1952); </w:t>
      </w:r>
      <w:r>
        <w:rPr>
          <w:i/>
          <w:spacing w:val="-3"/>
        </w:rPr>
        <w:t>Corbin on Contracts</w:t>
      </w:r>
      <w:r>
        <w:rPr>
          <w:spacing w:val="-3"/>
        </w:rPr>
        <w:t>, Section 1039 at 251 (1964).</w:t>
      </w:r>
    </w:p>
    <w:p w:rsidR="00F62686" w:rsidRDefault="00F62686">
      <w:pPr>
        <w:pStyle w:val="FootnoteText"/>
      </w:pPr>
    </w:p>
  </w:footnote>
  <w:footnote w:id="3">
    <w:p w:rsidR="00F62686" w:rsidRDefault="00F62686">
      <w:pPr>
        <w:pStyle w:val="FootnoteText"/>
        <w:rPr>
          <w:spacing w:val="-3"/>
        </w:rPr>
      </w:pPr>
      <w:r>
        <w:t xml:space="preserve">     </w:t>
      </w:r>
      <w:r>
        <w:rPr>
          <w:rStyle w:val="FootnoteReference"/>
        </w:rPr>
        <w:footnoteRef/>
      </w:r>
      <w:r>
        <w:t xml:space="preserve"> </w:t>
      </w:r>
      <w:r>
        <w:rPr>
          <w:i/>
          <w:spacing w:val="-3"/>
        </w:rPr>
        <w:t>Goodman</w:t>
      </w:r>
      <w:r>
        <w:rPr>
          <w:spacing w:val="-3"/>
        </w:rPr>
        <w:t xml:space="preserve">, 86 </w:t>
      </w:r>
      <w:r>
        <w:rPr>
          <w:i/>
          <w:spacing w:val="-3"/>
        </w:rPr>
        <w:t>N.J.</w:t>
      </w:r>
      <w:r>
        <w:rPr>
          <w:spacing w:val="-3"/>
        </w:rPr>
        <w:t xml:space="preserve"> at 40.</w:t>
      </w:r>
    </w:p>
    <w:p w:rsidR="00F62686" w:rsidRDefault="00F62686">
      <w:pPr>
        <w:pStyle w:val="FootnoteText"/>
      </w:pPr>
    </w:p>
  </w:footnote>
  <w:footnote w:id="4">
    <w:p w:rsidR="00F62686" w:rsidRDefault="00F62686">
      <w:pPr>
        <w:pStyle w:val="FootnoteText"/>
      </w:pPr>
      <w:r>
        <w:t xml:space="preserve">     </w:t>
      </w:r>
      <w:r>
        <w:rPr>
          <w:rStyle w:val="FootnoteReference"/>
        </w:rPr>
        <w:footnoteRef/>
      </w:r>
      <w:r>
        <w:t xml:space="preserve"> </w:t>
      </w:r>
      <w:r>
        <w:rPr>
          <w:i/>
          <w:spacing w:val="-3"/>
        </w:rPr>
        <w:t>Goodman</w:t>
      </w:r>
      <w:r>
        <w:rPr>
          <w:spacing w:val="-3"/>
        </w:rPr>
        <w:t xml:space="preserve">, 86 </w:t>
      </w:r>
      <w:r>
        <w:rPr>
          <w:i/>
          <w:spacing w:val="-3"/>
        </w:rPr>
        <w:t>N.J.</w:t>
      </w:r>
      <w:r>
        <w:rPr>
          <w:spacing w:val="-3"/>
        </w:rPr>
        <w:t xml:space="preserve"> at 36.</w:t>
      </w:r>
    </w:p>
  </w:footnote>
  <w:footnote w:id="5">
    <w:p w:rsidR="00F62686" w:rsidRDefault="00F62686">
      <w:pPr>
        <w:pStyle w:val="FootnoteText"/>
        <w:rPr>
          <w:spacing w:val="-3"/>
        </w:rPr>
      </w:pPr>
      <w:r>
        <w:t xml:space="preserve">     </w:t>
      </w:r>
      <w:r>
        <w:rPr>
          <w:rStyle w:val="FootnoteReference"/>
        </w:rPr>
        <w:footnoteRef/>
      </w:r>
      <w:r>
        <w:t xml:space="preserve"> </w:t>
      </w:r>
      <w:r>
        <w:rPr>
          <w:i/>
          <w:spacing w:val="-3"/>
        </w:rPr>
        <w:t>Goodman</w:t>
      </w:r>
      <w:r>
        <w:rPr>
          <w:spacing w:val="-3"/>
        </w:rPr>
        <w:t xml:space="preserve">, 86 </w:t>
      </w:r>
      <w:r>
        <w:rPr>
          <w:i/>
          <w:spacing w:val="-3"/>
        </w:rPr>
        <w:t>N.J.</w:t>
      </w:r>
      <w:r>
        <w:rPr>
          <w:spacing w:val="-3"/>
        </w:rPr>
        <w:t xml:space="preserve"> at 37.</w:t>
      </w:r>
    </w:p>
    <w:p w:rsidR="00245076" w:rsidRDefault="00245076">
      <w:pPr>
        <w:pStyle w:val="FootnoteText"/>
      </w:pPr>
    </w:p>
  </w:footnote>
  <w:footnote w:id="6">
    <w:p w:rsidR="00F62686" w:rsidRDefault="00F62686">
      <w:pPr>
        <w:pStyle w:val="FootnoteText"/>
        <w:tabs>
          <w:tab w:val="left" w:pos="-720"/>
        </w:tabs>
        <w:spacing w:after="240"/>
        <w:jc w:val="both"/>
        <w:rPr>
          <w:spacing w:val="-2"/>
        </w:rPr>
      </w:pPr>
      <w:r>
        <w:rPr>
          <w:spacing w:val="-2"/>
        </w:rPr>
        <w:t xml:space="preserve">     </w:t>
      </w:r>
      <w:r>
        <w:rPr>
          <w:rStyle w:val="FootnoteReference"/>
          <w:spacing w:val="-2"/>
        </w:rPr>
        <w:footnoteRef/>
      </w:r>
      <w:r>
        <w:rPr>
          <w:spacing w:val="-2"/>
        </w:rPr>
        <w:t xml:space="preserve"> Only those factors relevant to the particular fact situation should be charged.</w:t>
      </w:r>
    </w:p>
  </w:footnote>
  <w:footnote w:id="7">
    <w:p w:rsidR="00F62686" w:rsidRDefault="00F62686">
      <w:pPr>
        <w:pStyle w:val="FootnoteText"/>
      </w:pPr>
      <w:r>
        <w:t xml:space="preserve">     </w:t>
      </w:r>
      <w:r>
        <w:rPr>
          <w:rStyle w:val="FootnoteReference"/>
        </w:rPr>
        <w:footnoteRef/>
      </w:r>
      <w:r>
        <w:t xml:space="preserve"> </w:t>
      </w:r>
      <w:r>
        <w:rPr>
          <w:i/>
          <w:spacing w:val="-3"/>
        </w:rPr>
        <w:t>Goodman</w:t>
      </w:r>
      <w:r>
        <w:rPr>
          <w:spacing w:val="-3"/>
        </w:rPr>
        <w:t xml:space="preserve">, 86 </w:t>
      </w:r>
      <w:r>
        <w:rPr>
          <w:i/>
          <w:spacing w:val="-3"/>
        </w:rPr>
        <w:t>N.J.</w:t>
      </w:r>
      <w:r>
        <w:rPr>
          <w:spacing w:val="-3"/>
        </w:rPr>
        <w:t xml:space="preserve"> at 37, citing New Jersey’s Unemployment Compensation Law, </w:t>
      </w:r>
      <w:r>
        <w:rPr>
          <w:i/>
          <w:spacing w:val="-3"/>
        </w:rPr>
        <w:t>N.J.S.A.</w:t>
      </w:r>
      <w:r>
        <w:rPr>
          <w:spacing w:val="-3"/>
        </w:rPr>
        <w:t xml:space="preserve"> 43:21-1 at 43:21-5(c)(1).</w:t>
      </w:r>
    </w:p>
  </w:footnote>
  <w:footnote w:id="8">
    <w:p w:rsidR="00D611B9" w:rsidRDefault="00D611B9">
      <w:pPr>
        <w:pStyle w:val="FootnoteText"/>
      </w:pPr>
    </w:p>
    <w:p w:rsidR="00F62686" w:rsidRDefault="00F62686">
      <w:pPr>
        <w:pStyle w:val="FootnoteText"/>
        <w:rPr>
          <w:spacing w:val="-3"/>
        </w:rPr>
      </w:pPr>
      <w:r>
        <w:t xml:space="preserve">     </w:t>
      </w:r>
      <w:r>
        <w:rPr>
          <w:rStyle w:val="FootnoteReference"/>
        </w:rPr>
        <w:footnoteRef/>
      </w:r>
      <w:r>
        <w:t xml:space="preserve"> </w:t>
      </w:r>
      <w:proofErr w:type="spellStart"/>
      <w:r>
        <w:rPr>
          <w:i/>
          <w:spacing w:val="-3"/>
        </w:rPr>
        <w:t>Sporn</w:t>
      </w:r>
      <w:proofErr w:type="spellEnd"/>
      <w:r>
        <w:rPr>
          <w:i/>
          <w:spacing w:val="-3"/>
        </w:rPr>
        <w:t xml:space="preserve"> v. Celebrity, Inc.</w:t>
      </w:r>
      <w:r>
        <w:rPr>
          <w:spacing w:val="-3"/>
        </w:rPr>
        <w:t xml:space="preserve">, 129 </w:t>
      </w:r>
      <w:r>
        <w:rPr>
          <w:i/>
          <w:spacing w:val="-3"/>
        </w:rPr>
        <w:t>N.J. Super.</w:t>
      </w:r>
      <w:r>
        <w:rPr>
          <w:spacing w:val="-3"/>
        </w:rPr>
        <w:t xml:space="preserve"> 449, 453-60 (Law Div. 1974); </w:t>
      </w:r>
      <w:r>
        <w:rPr>
          <w:i/>
          <w:spacing w:val="-3"/>
        </w:rPr>
        <w:t>Craig v. Y &amp; Y Snacks, Inc.</w:t>
      </w:r>
      <w:r>
        <w:rPr>
          <w:spacing w:val="-3"/>
        </w:rPr>
        <w:t xml:space="preserve">, 721 </w:t>
      </w:r>
      <w:r>
        <w:rPr>
          <w:i/>
          <w:spacing w:val="-3"/>
        </w:rPr>
        <w:t>F.</w:t>
      </w:r>
      <w:r w:rsidR="00245076">
        <w:rPr>
          <w:i/>
          <w:spacing w:val="-3"/>
        </w:rPr>
        <w:t xml:space="preserve"> </w:t>
      </w:r>
      <w:r w:rsidRPr="00245076">
        <w:rPr>
          <w:spacing w:val="-3"/>
        </w:rPr>
        <w:t xml:space="preserve">2d </w:t>
      </w:r>
      <w:r>
        <w:rPr>
          <w:spacing w:val="-3"/>
        </w:rPr>
        <w:t>77 (3d Cir. 1983).</w:t>
      </w:r>
    </w:p>
    <w:p w:rsidR="00F62686" w:rsidRDefault="00F62686">
      <w:pPr>
        <w:pStyle w:val="FootnoteText"/>
      </w:pPr>
    </w:p>
  </w:footnote>
  <w:footnote w:id="9">
    <w:p w:rsidR="00F62686" w:rsidRDefault="00F62686">
      <w:pPr>
        <w:pStyle w:val="FootnoteText"/>
        <w:rPr>
          <w:spacing w:val="-2"/>
        </w:rPr>
      </w:pPr>
      <w:r>
        <w:t xml:space="preserve">     </w:t>
      </w:r>
      <w:r>
        <w:rPr>
          <w:rStyle w:val="FootnoteReference"/>
        </w:rPr>
        <w:footnoteRef/>
      </w:r>
      <w:r>
        <w:t xml:space="preserve"> </w:t>
      </w:r>
      <w:r>
        <w:rPr>
          <w:spacing w:val="-2"/>
        </w:rPr>
        <w:t xml:space="preserve">This has been added as a relevant factor although not directly discussed in </w:t>
      </w:r>
      <w:r>
        <w:rPr>
          <w:i/>
          <w:spacing w:val="-2"/>
        </w:rPr>
        <w:t>Goodman</w:t>
      </w:r>
      <w:r>
        <w:rPr>
          <w:spacing w:val="-2"/>
        </w:rPr>
        <w:t xml:space="preserve">, but see discussion, 86 </w:t>
      </w:r>
      <w:r>
        <w:rPr>
          <w:i/>
          <w:spacing w:val="-2"/>
        </w:rPr>
        <w:t>N.J.</w:t>
      </w:r>
      <w:r>
        <w:rPr>
          <w:spacing w:val="-2"/>
        </w:rPr>
        <w:t xml:space="preserve"> at 41.</w:t>
      </w:r>
    </w:p>
    <w:p w:rsidR="00F62686" w:rsidRDefault="00F62686">
      <w:pPr>
        <w:pStyle w:val="FootnoteText"/>
      </w:pPr>
    </w:p>
  </w:footnote>
  <w:footnote w:id="10">
    <w:p w:rsidR="00F62686" w:rsidRDefault="00F62686">
      <w:pPr>
        <w:pStyle w:val="FootnoteText"/>
        <w:tabs>
          <w:tab w:val="left" w:pos="-720"/>
        </w:tabs>
        <w:spacing w:after="240"/>
        <w:jc w:val="both"/>
        <w:rPr>
          <w:spacing w:val="-2"/>
        </w:rPr>
      </w:pPr>
      <w:r>
        <w:rPr>
          <w:spacing w:val="-2"/>
        </w:rPr>
        <w:t xml:space="preserve">     </w:t>
      </w:r>
      <w:r>
        <w:rPr>
          <w:rStyle w:val="FootnoteReference"/>
          <w:spacing w:val="-2"/>
        </w:rPr>
        <w:footnoteRef/>
      </w:r>
      <w:r>
        <w:rPr>
          <w:spacing w:val="-2"/>
        </w:rPr>
        <w:t xml:space="preserve"> </w:t>
      </w:r>
      <w:r>
        <w:rPr>
          <w:i/>
          <w:spacing w:val="-3"/>
        </w:rPr>
        <w:t>Goodman</w:t>
      </w:r>
      <w:r>
        <w:rPr>
          <w:spacing w:val="-3"/>
        </w:rPr>
        <w:t xml:space="preserve">, 86 </w:t>
      </w:r>
      <w:r>
        <w:rPr>
          <w:i/>
          <w:spacing w:val="-3"/>
        </w:rPr>
        <w:t>N.J</w:t>
      </w:r>
      <w:r>
        <w:rPr>
          <w:spacing w:val="-3"/>
        </w:rPr>
        <w:t>. at 38.</w:t>
      </w:r>
    </w:p>
  </w:footnote>
  <w:footnote w:id="11">
    <w:p w:rsidR="00F62686" w:rsidRDefault="00F62686">
      <w:pPr>
        <w:pStyle w:val="FootnoteText"/>
      </w:pPr>
      <w:r>
        <w:t xml:space="preserve">     </w:t>
      </w:r>
      <w:r>
        <w:rPr>
          <w:rStyle w:val="FootnoteReference"/>
        </w:rPr>
        <w:footnoteRef/>
      </w:r>
      <w:r>
        <w:t xml:space="preserve"> </w:t>
      </w:r>
      <w:r>
        <w:rPr>
          <w:i/>
          <w:spacing w:val="-3"/>
        </w:rPr>
        <w:t>Goodman</w:t>
      </w:r>
      <w:r>
        <w:rPr>
          <w:spacing w:val="-3"/>
        </w:rPr>
        <w:t xml:space="preserve">, 86 </w:t>
      </w:r>
      <w:r>
        <w:rPr>
          <w:i/>
          <w:spacing w:val="-3"/>
        </w:rPr>
        <w:t>N.J.</w:t>
      </w:r>
      <w:r>
        <w:rPr>
          <w:spacing w:val="-3"/>
        </w:rPr>
        <w:t xml:space="preserve"> at 38; </w:t>
      </w:r>
      <w:r>
        <w:rPr>
          <w:i/>
          <w:spacing w:val="-3"/>
        </w:rPr>
        <w:t>N.L.R.B. v. Southern Silk Mills, Inc.</w:t>
      </w:r>
      <w:r>
        <w:rPr>
          <w:spacing w:val="-3"/>
        </w:rPr>
        <w:t xml:space="preserve">, 242 </w:t>
      </w:r>
      <w:r>
        <w:rPr>
          <w:i/>
          <w:spacing w:val="-3"/>
        </w:rPr>
        <w:t>F.</w:t>
      </w:r>
      <w:r w:rsidR="00245076">
        <w:rPr>
          <w:i/>
          <w:spacing w:val="-3"/>
        </w:rPr>
        <w:t xml:space="preserve"> </w:t>
      </w:r>
      <w:r w:rsidRPr="00245076">
        <w:rPr>
          <w:spacing w:val="-3"/>
        </w:rPr>
        <w:t>2d</w:t>
      </w:r>
      <w:r>
        <w:rPr>
          <w:spacing w:val="-3"/>
        </w:rPr>
        <w:t xml:space="preserve"> 697 (6th Cir.), </w:t>
      </w:r>
      <w:r>
        <w:rPr>
          <w:i/>
          <w:spacing w:val="-3"/>
        </w:rPr>
        <w:t>cert. den.</w:t>
      </w:r>
      <w:r>
        <w:rPr>
          <w:spacing w:val="-3"/>
        </w:rPr>
        <w:t xml:space="preserve">, 335 </w:t>
      </w:r>
      <w:smartTag w:uri="urn:schemas-microsoft-com:office:smarttags" w:element="place">
        <w:smartTag w:uri="urn:schemas-microsoft-com:office:smarttags" w:element="country-region">
          <w:r>
            <w:rPr>
              <w:i/>
              <w:spacing w:val="-3"/>
            </w:rPr>
            <w:t>U.S.</w:t>
          </w:r>
        </w:smartTag>
      </w:smartTag>
      <w:r>
        <w:rPr>
          <w:spacing w:val="-3"/>
        </w:rPr>
        <w:t xml:space="preserve"> 821 (1957); </w:t>
      </w:r>
      <w:r>
        <w:rPr>
          <w:i/>
          <w:spacing w:val="-3"/>
        </w:rPr>
        <w:t>De Rose v. Bd. of Review</w:t>
      </w:r>
      <w:r>
        <w:rPr>
          <w:spacing w:val="-3"/>
        </w:rPr>
        <w:t xml:space="preserve">, 6 </w:t>
      </w:r>
      <w:r>
        <w:rPr>
          <w:i/>
          <w:spacing w:val="-3"/>
        </w:rPr>
        <w:t>N.J. Super.</w:t>
      </w:r>
      <w:r>
        <w:rPr>
          <w:spacing w:val="-3"/>
        </w:rPr>
        <w:t xml:space="preserve"> 164 (App. Div. 1950); </w:t>
      </w:r>
      <w:proofErr w:type="spellStart"/>
      <w:r>
        <w:rPr>
          <w:i/>
          <w:spacing w:val="-3"/>
        </w:rPr>
        <w:t>Worsnop</w:t>
      </w:r>
      <w:proofErr w:type="spellEnd"/>
      <w:r>
        <w:rPr>
          <w:i/>
          <w:spacing w:val="-3"/>
        </w:rPr>
        <w:t xml:space="preserve"> v. Bd. of Review</w:t>
      </w:r>
      <w:r>
        <w:rPr>
          <w:spacing w:val="-3"/>
        </w:rPr>
        <w:t xml:space="preserve">, 92 </w:t>
      </w:r>
      <w:r>
        <w:rPr>
          <w:i/>
          <w:spacing w:val="-3"/>
        </w:rPr>
        <w:t>N.J. Super.</w:t>
      </w:r>
      <w:r>
        <w:rPr>
          <w:spacing w:val="-3"/>
        </w:rPr>
        <w:t xml:space="preserve"> 260 (App. Div. 1966).</w:t>
      </w:r>
    </w:p>
  </w:footnote>
  <w:footnote w:id="12">
    <w:p w:rsidR="00F62686" w:rsidRDefault="00F62686">
      <w:pPr>
        <w:pStyle w:val="FootnoteText"/>
        <w:rPr>
          <w:spacing w:val="-3"/>
        </w:rPr>
      </w:pPr>
      <w:r>
        <w:t xml:space="preserve">     </w:t>
      </w:r>
      <w:r>
        <w:rPr>
          <w:rStyle w:val="FootnoteReference"/>
        </w:rPr>
        <w:footnoteRef/>
      </w:r>
      <w:r>
        <w:t xml:space="preserve"> </w:t>
      </w:r>
      <w:r>
        <w:rPr>
          <w:i/>
          <w:spacing w:val="-3"/>
        </w:rPr>
        <w:t>Goodman</w:t>
      </w:r>
      <w:r>
        <w:rPr>
          <w:spacing w:val="-3"/>
        </w:rPr>
        <w:t xml:space="preserve">, 86 </w:t>
      </w:r>
      <w:r>
        <w:rPr>
          <w:i/>
          <w:spacing w:val="-3"/>
        </w:rPr>
        <w:t>N.J.</w:t>
      </w:r>
      <w:r>
        <w:rPr>
          <w:spacing w:val="-3"/>
        </w:rPr>
        <w:t xml:space="preserve"> at 40; </w:t>
      </w:r>
      <w:r>
        <w:rPr>
          <w:i/>
          <w:spacing w:val="-3"/>
        </w:rPr>
        <w:t>Southern Silk Mills, Inc.</w:t>
      </w:r>
      <w:r>
        <w:rPr>
          <w:spacing w:val="-3"/>
        </w:rPr>
        <w:t xml:space="preserve">, 242 </w:t>
      </w:r>
      <w:r>
        <w:rPr>
          <w:i/>
          <w:spacing w:val="-3"/>
        </w:rPr>
        <w:t>F.</w:t>
      </w:r>
      <w:r w:rsidR="00245076" w:rsidRPr="00245076">
        <w:rPr>
          <w:spacing w:val="-3"/>
        </w:rPr>
        <w:t xml:space="preserve"> </w:t>
      </w:r>
      <w:r w:rsidRPr="00245076">
        <w:rPr>
          <w:spacing w:val="-3"/>
        </w:rPr>
        <w:t xml:space="preserve">2d </w:t>
      </w:r>
      <w:r>
        <w:rPr>
          <w:spacing w:val="-3"/>
        </w:rPr>
        <w:t xml:space="preserve">at 700; </w:t>
      </w:r>
      <w:r>
        <w:rPr>
          <w:i/>
          <w:spacing w:val="-3"/>
        </w:rPr>
        <w:t>De Rose</w:t>
      </w:r>
      <w:r>
        <w:rPr>
          <w:spacing w:val="-3"/>
        </w:rPr>
        <w:t xml:space="preserve">, 6 </w:t>
      </w:r>
      <w:r>
        <w:rPr>
          <w:i/>
          <w:spacing w:val="-3"/>
        </w:rPr>
        <w:t>N.J. Super.</w:t>
      </w:r>
      <w:r>
        <w:rPr>
          <w:spacing w:val="-3"/>
        </w:rPr>
        <w:t xml:space="preserve"> at 166; </w:t>
      </w:r>
      <w:proofErr w:type="spellStart"/>
      <w:r>
        <w:rPr>
          <w:i/>
          <w:spacing w:val="-3"/>
        </w:rPr>
        <w:t>Worsnop</w:t>
      </w:r>
      <w:proofErr w:type="spellEnd"/>
      <w:r>
        <w:rPr>
          <w:spacing w:val="-3"/>
        </w:rPr>
        <w:t xml:space="preserve">, 92 </w:t>
      </w:r>
      <w:r>
        <w:rPr>
          <w:i/>
          <w:spacing w:val="-3"/>
        </w:rPr>
        <w:t>N.J. Super.</w:t>
      </w:r>
      <w:r>
        <w:rPr>
          <w:spacing w:val="-3"/>
        </w:rPr>
        <w:t xml:space="preserve"> at 266.</w:t>
      </w:r>
    </w:p>
    <w:p w:rsidR="00F62686" w:rsidRDefault="00F62686">
      <w:pPr>
        <w:pStyle w:val="FootnoteText"/>
      </w:pPr>
    </w:p>
  </w:footnote>
  <w:footnote w:id="13">
    <w:p w:rsidR="00F62686" w:rsidRDefault="00F62686">
      <w:pPr>
        <w:pStyle w:val="FootnoteText"/>
        <w:rPr>
          <w:spacing w:val="-3"/>
        </w:rPr>
      </w:pPr>
      <w:r>
        <w:t xml:space="preserve">     </w:t>
      </w:r>
      <w:r>
        <w:rPr>
          <w:rStyle w:val="FootnoteReference"/>
        </w:rPr>
        <w:footnoteRef/>
      </w:r>
      <w:r>
        <w:t xml:space="preserve"> </w:t>
      </w:r>
      <w:r>
        <w:rPr>
          <w:i/>
          <w:spacing w:val="-3"/>
        </w:rPr>
        <w:t>Goodman</w:t>
      </w:r>
      <w:r>
        <w:rPr>
          <w:spacing w:val="-3"/>
        </w:rPr>
        <w:t xml:space="preserve">, 86 </w:t>
      </w:r>
      <w:r>
        <w:rPr>
          <w:i/>
          <w:spacing w:val="-3"/>
        </w:rPr>
        <w:t>N.J.</w:t>
      </w:r>
      <w:r>
        <w:rPr>
          <w:spacing w:val="-3"/>
        </w:rPr>
        <w:t xml:space="preserve"> at 40; </w:t>
      </w:r>
      <w:r>
        <w:rPr>
          <w:i/>
          <w:spacing w:val="-3"/>
        </w:rPr>
        <w:t>De Rose</w:t>
      </w:r>
      <w:r>
        <w:rPr>
          <w:spacing w:val="-3"/>
        </w:rPr>
        <w:t xml:space="preserve">, 6 </w:t>
      </w:r>
      <w:r>
        <w:rPr>
          <w:i/>
          <w:spacing w:val="-3"/>
        </w:rPr>
        <w:t>N.J. Super.</w:t>
      </w:r>
      <w:r>
        <w:rPr>
          <w:spacing w:val="-3"/>
        </w:rPr>
        <w:t xml:space="preserve"> at 166; </w:t>
      </w:r>
      <w:proofErr w:type="spellStart"/>
      <w:r>
        <w:rPr>
          <w:i/>
          <w:spacing w:val="-3"/>
        </w:rPr>
        <w:t>Worsnop</w:t>
      </w:r>
      <w:proofErr w:type="spellEnd"/>
      <w:r>
        <w:rPr>
          <w:spacing w:val="-3"/>
        </w:rPr>
        <w:t xml:space="preserve">, 92 </w:t>
      </w:r>
      <w:r>
        <w:rPr>
          <w:i/>
          <w:spacing w:val="-3"/>
        </w:rPr>
        <w:t>N.J. Super.</w:t>
      </w:r>
      <w:r>
        <w:rPr>
          <w:spacing w:val="-3"/>
        </w:rPr>
        <w:t xml:space="preserve"> at 266.</w:t>
      </w:r>
    </w:p>
    <w:p w:rsidR="00F62686" w:rsidRDefault="00F62686">
      <w:pPr>
        <w:pStyle w:val="FootnoteText"/>
      </w:pPr>
    </w:p>
  </w:footnote>
  <w:footnote w:id="14">
    <w:p w:rsidR="00F62686" w:rsidRDefault="00F62686">
      <w:pPr>
        <w:pStyle w:val="FootnoteText"/>
      </w:pPr>
      <w:r>
        <w:t xml:space="preserve">     </w:t>
      </w:r>
      <w:r>
        <w:rPr>
          <w:rStyle w:val="FootnoteReference"/>
        </w:rPr>
        <w:footnoteRef/>
      </w:r>
      <w:r>
        <w:t xml:space="preserve"> </w:t>
      </w:r>
      <w:r>
        <w:rPr>
          <w:i/>
          <w:spacing w:val="-3"/>
        </w:rPr>
        <w:t>Goodman</w:t>
      </w:r>
      <w:r>
        <w:rPr>
          <w:spacing w:val="-3"/>
        </w:rPr>
        <w:t xml:space="preserve">, 86 </w:t>
      </w:r>
      <w:r>
        <w:rPr>
          <w:i/>
          <w:spacing w:val="-3"/>
        </w:rPr>
        <w:t>N.J.</w:t>
      </w:r>
      <w:r>
        <w:rPr>
          <w:spacing w:val="-3"/>
        </w:rPr>
        <w:t xml:space="preserve"> at 41.</w:t>
      </w:r>
    </w:p>
  </w:footnote>
  <w:footnote w:id="15">
    <w:p w:rsidR="00F62686" w:rsidRDefault="00F62686">
      <w:pPr>
        <w:pStyle w:val="FootnoteText"/>
        <w:rPr>
          <w:spacing w:val="-3"/>
        </w:rPr>
      </w:pPr>
      <w:r>
        <w:t xml:space="preserve">     </w:t>
      </w:r>
      <w:r>
        <w:rPr>
          <w:rStyle w:val="FootnoteReference"/>
        </w:rPr>
        <w:footnoteRef/>
      </w:r>
      <w:r>
        <w:t xml:space="preserve"> </w:t>
      </w:r>
      <w:r>
        <w:rPr>
          <w:i/>
          <w:spacing w:val="-3"/>
        </w:rPr>
        <w:t>Goodman</w:t>
      </w:r>
      <w:r>
        <w:rPr>
          <w:spacing w:val="-3"/>
        </w:rPr>
        <w:t xml:space="preserve">, 86 </w:t>
      </w:r>
      <w:r>
        <w:rPr>
          <w:i/>
          <w:spacing w:val="-3"/>
        </w:rPr>
        <w:t>N.J.</w:t>
      </w:r>
      <w:r>
        <w:rPr>
          <w:spacing w:val="-3"/>
        </w:rPr>
        <w:t xml:space="preserve"> at 43.</w:t>
      </w:r>
    </w:p>
    <w:p w:rsidR="00F62686" w:rsidRDefault="00F62686">
      <w:pPr>
        <w:pStyle w:val="FootnoteText"/>
      </w:pPr>
    </w:p>
  </w:footnote>
  <w:footnote w:id="16">
    <w:p w:rsidR="00F62686" w:rsidRDefault="00F62686">
      <w:pPr>
        <w:pStyle w:val="FootnoteText"/>
        <w:jc w:val="both"/>
      </w:pPr>
      <w:r>
        <w:t xml:space="preserve">     </w:t>
      </w:r>
      <w:r>
        <w:rPr>
          <w:rStyle w:val="FootnoteReference"/>
        </w:rPr>
        <w:footnoteRef/>
      </w:r>
      <w:r>
        <w:t xml:space="preserve"> </w:t>
      </w:r>
      <w:proofErr w:type="spellStart"/>
      <w:r>
        <w:rPr>
          <w:i/>
          <w:spacing w:val="-3"/>
        </w:rPr>
        <w:t>Stonco</w:t>
      </w:r>
      <w:proofErr w:type="spellEnd"/>
      <w:r>
        <w:rPr>
          <w:i/>
          <w:spacing w:val="-3"/>
        </w:rPr>
        <w:t xml:space="preserve"> Elec. Products Co. v. Board of Review</w:t>
      </w:r>
      <w:r>
        <w:rPr>
          <w:spacing w:val="-3"/>
        </w:rPr>
        <w:t xml:space="preserve">, 106 </w:t>
      </w:r>
      <w:r>
        <w:rPr>
          <w:i/>
          <w:spacing w:val="-3"/>
        </w:rPr>
        <w:t>N.J. Super.</w:t>
      </w:r>
      <w:r>
        <w:rPr>
          <w:spacing w:val="-3"/>
        </w:rPr>
        <w:t xml:space="preserve"> 6, 10-12 (App. Div. 1969); </w:t>
      </w:r>
      <w:r>
        <w:rPr>
          <w:i/>
          <w:spacing w:val="-3"/>
        </w:rPr>
        <w:t>Sanchez v. Board of Review</w:t>
      </w:r>
      <w:r>
        <w:rPr>
          <w:spacing w:val="-3"/>
        </w:rPr>
        <w:t xml:space="preserve">, 206 </w:t>
      </w:r>
      <w:r>
        <w:rPr>
          <w:i/>
          <w:spacing w:val="-3"/>
        </w:rPr>
        <w:t>N.J. Super.</w:t>
      </w:r>
      <w:r>
        <w:rPr>
          <w:spacing w:val="-3"/>
        </w:rPr>
        <w:t xml:space="preserve"> 617, 623-25 (App. Div. 1986); </w:t>
      </w:r>
      <w:proofErr w:type="spellStart"/>
      <w:r>
        <w:rPr>
          <w:i/>
          <w:spacing w:val="-3"/>
        </w:rPr>
        <w:t>Doering</w:t>
      </w:r>
      <w:proofErr w:type="spellEnd"/>
      <w:r>
        <w:rPr>
          <w:i/>
          <w:spacing w:val="-3"/>
        </w:rPr>
        <w:t xml:space="preserve"> v. Board of Review</w:t>
      </w:r>
      <w:r>
        <w:rPr>
          <w:spacing w:val="-3"/>
        </w:rPr>
        <w:t xml:space="preserve">, 203 </w:t>
      </w:r>
      <w:r>
        <w:rPr>
          <w:i/>
          <w:spacing w:val="-3"/>
        </w:rPr>
        <w:t>N.J. Super.</w:t>
      </w:r>
      <w:r>
        <w:rPr>
          <w:spacing w:val="-3"/>
        </w:rPr>
        <w:t xml:space="preserve"> 241, 246-48 (App. Div. 1985); </w:t>
      </w:r>
      <w:r>
        <w:rPr>
          <w:i/>
          <w:spacing w:val="-3"/>
        </w:rPr>
        <w:t>Inside Radio/Radio Only, Inc. v. Board of Review</w:t>
      </w:r>
      <w:r>
        <w:rPr>
          <w:spacing w:val="-3"/>
        </w:rPr>
        <w:t xml:space="preserve">, 204 </w:t>
      </w:r>
      <w:r>
        <w:rPr>
          <w:i/>
          <w:spacing w:val="-3"/>
        </w:rPr>
        <w:t>N.J. Super.</w:t>
      </w:r>
      <w:r>
        <w:rPr>
          <w:spacing w:val="-3"/>
        </w:rPr>
        <w:t xml:space="preserve"> 296, 299-300;  </w:t>
      </w:r>
      <w:r>
        <w:rPr>
          <w:i/>
          <w:spacing w:val="-3"/>
        </w:rPr>
        <w:t>Goodman</w:t>
      </w:r>
      <w:r>
        <w:rPr>
          <w:spacing w:val="-3"/>
        </w:rPr>
        <w:t xml:space="preserve">, 86 </w:t>
      </w:r>
      <w:r>
        <w:rPr>
          <w:i/>
          <w:spacing w:val="-3"/>
        </w:rPr>
        <w:t>N.J.</w:t>
      </w:r>
      <w:r>
        <w:rPr>
          <w:spacing w:val="-3"/>
        </w:rPr>
        <w:t xml:space="preserve"> at 42;  </w:t>
      </w:r>
      <w:r>
        <w:rPr>
          <w:i/>
          <w:spacing w:val="-3"/>
        </w:rPr>
        <w:t>Sandler v. Lawn-</w:t>
      </w:r>
      <w:proofErr w:type="spellStart"/>
      <w:r>
        <w:rPr>
          <w:i/>
          <w:spacing w:val="-3"/>
        </w:rPr>
        <w:t>A.Mat</w:t>
      </w:r>
      <w:proofErr w:type="spellEnd"/>
      <w:r>
        <w:rPr>
          <w:i/>
          <w:spacing w:val="-3"/>
        </w:rPr>
        <w:t xml:space="preserve"> Chem. &amp; Equip. Corp.</w:t>
      </w:r>
      <w:r>
        <w:rPr>
          <w:spacing w:val="-3"/>
        </w:rPr>
        <w:t xml:space="preserve">, 141 </w:t>
      </w:r>
      <w:r>
        <w:rPr>
          <w:i/>
          <w:spacing w:val="-3"/>
        </w:rPr>
        <w:t>N.J. Super.</w:t>
      </w:r>
      <w:r>
        <w:rPr>
          <w:spacing w:val="-3"/>
        </w:rPr>
        <w:t xml:space="preserve"> 437, 455 (App. Div.), </w:t>
      </w:r>
      <w:r>
        <w:rPr>
          <w:i/>
          <w:spacing w:val="-3"/>
        </w:rPr>
        <w:t>certif. denied</w:t>
      </w:r>
      <w:r>
        <w:rPr>
          <w:spacing w:val="-3"/>
        </w:rPr>
        <w:t xml:space="preserve">, 71 </w:t>
      </w:r>
      <w:r>
        <w:rPr>
          <w:i/>
          <w:spacing w:val="-3"/>
        </w:rPr>
        <w:t>N.J.</w:t>
      </w:r>
      <w:r>
        <w:rPr>
          <w:spacing w:val="-3"/>
        </w:rPr>
        <w:t xml:space="preserve"> 503 (1976); </w:t>
      </w:r>
      <w:r>
        <w:rPr>
          <w:i/>
          <w:spacing w:val="-3"/>
        </w:rPr>
        <w:t xml:space="preserve">Roselle v. La </w:t>
      </w:r>
      <w:proofErr w:type="spellStart"/>
      <w:r>
        <w:rPr>
          <w:i/>
          <w:spacing w:val="-3"/>
        </w:rPr>
        <w:t>Fera</w:t>
      </w:r>
      <w:proofErr w:type="spellEnd"/>
      <w:r>
        <w:rPr>
          <w:i/>
          <w:spacing w:val="-3"/>
        </w:rPr>
        <w:t xml:space="preserve"> Construction Co.</w:t>
      </w:r>
      <w:r>
        <w:rPr>
          <w:spacing w:val="-3"/>
        </w:rPr>
        <w:t xml:space="preserve">, 18 </w:t>
      </w:r>
      <w:r>
        <w:rPr>
          <w:i/>
          <w:spacing w:val="-3"/>
        </w:rPr>
        <w:t>N.J. Super.</w:t>
      </w:r>
      <w:r>
        <w:rPr>
          <w:spacing w:val="-3"/>
        </w:rPr>
        <w:t xml:space="preserve"> 19, 28 (Ch. Div. 1952); A. Corbin, </w:t>
      </w:r>
      <w:r>
        <w:rPr>
          <w:i/>
          <w:spacing w:val="-3"/>
        </w:rPr>
        <w:t>Corbin on Contracts</w:t>
      </w:r>
      <w:r>
        <w:rPr>
          <w:spacing w:val="-3"/>
        </w:rPr>
        <w:t xml:space="preserve"> §1039 at 251 (1964); </w:t>
      </w:r>
      <w:r>
        <w:rPr>
          <w:i/>
          <w:spacing w:val="-3"/>
        </w:rPr>
        <w:t>N.L.R.B. v. Southern Silk Mills</w:t>
      </w:r>
      <w:r>
        <w:rPr>
          <w:spacing w:val="-3"/>
        </w:rPr>
        <w:t xml:space="preserve">, 242 </w:t>
      </w:r>
      <w:r>
        <w:rPr>
          <w:i/>
          <w:spacing w:val="-3"/>
        </w:rPr>
        <w:t>F.</w:t>
      </w:r>
      <w:r w:rsidR="00245076">
        <w:rPr>
          <w:i/>
          <w:spacing w:val="-3"/>
        </w:rPr>
        <w:t xml:space="preserve"> </w:t>
      </w:r>
      <w:r w:rsidRPr="00245076">
        <w:rPr>
          <w:spacing w:val="-3"/>
        </w:rPr>
        <w:t xml:space="preserve">2d </w:t>
      </w:r>
      <w:r>
        <w:rPr>
          <w:spacing w:val="-3"/>
        </w:rPr>
        <w:t xml:space="preserve">697, 700 (6th Cir. 1957); </w:t>
      </w:r>
      <w:r>
        <w:rPr>
          <w:i/>
          <w:spacing w:val="-3"/>
        </w:rPr>
        <w:t>N.J.S.A.</w:t>
      </w:r>
      <w:r>
        <w:rPr>
          <w:spacing w:val="-3"/>
        </w:rPr>
        <w:t xml:space="preserve"> 43:21-5.</w:t>
      </w:r>
    </w:p>
  </w:footnote>
  <w:footnote w:id="17">
    <w:p w:rsidR="00F62686" w:rsidRDefault="00F62686">
      <w:pPr>
        <w:pStyle w:val="FootnoteText"/>
        <w:rPr>
          <w:spacing w:val="-3"/>
        </w:rPr>
      </w:pPr>
      <w:r>
        <w:t xml:space="preserve">     </w:t>
      </w:r>
      <w:r>
        <w:rPr>
          <w:rStyle w:val="FootnoteReference"/>
        </w:rPr>
        <w:footnoteRef/>
      </w:r>
      <w:r>
        <w:t xml:space="preserve"> </w:t>
      </w:r>
      <w:r>
        <w:rPr>
          <w:i/>
          <w:spacing w:val="-3"/>
        </w:rPr>
        <w:t>Ford Motor Co. v. EEOC</w:t>
      </w:r>
      <w:r>
        <w:rPr>
          <w:spacing w:val="-3"/>
        </w:rPr>
        <w:t xml:space="preserve">, 458 </w:t>
      </w:r>
      <w:smartTag w:uri="urn:schemas-microsoft-com:office:smarttags" w:element="place">
        <w:smartTag w:uri="urn:schemas-microsoft-com:office:smarttags" w:element="country-region">
          <w:r>
            <w:rPr>
              <w:i/>
              <w:spacing w:val="-3"/>
            </w:rPr>
            <w:t>U.S.</w:t>
          </w:r>
        </w:smartTag>
      </w:smartTag>
      <w:r>
        <w:rPr>
          <w:spacing w:val="-3"/>
        </w:rPr>
        <w:t xml:space="preserve"> 219, 102 </w:t>
      </w:r>
      <w:proofErr w:type="spellStart"/>
      <w:r>
        <w:rPr>
          <w:i/>
          <w:spacing w:val="-3"/>
        </w:rPr>
        <w:t>S.Ct</w:t>
      </w:r>
      <w:proofErr w:type="spellEnd"/>
      <w:r>
        <w:rPr>
          <w:i/>
          <w:spacing w:val="-3"/>
        </w:rPr>
        <w:t>.</w:t>
      </w:r>
      <w:r>
        <w:rPr>
          <w:spacing w:val="-3"/>
        </w:rPr>
        <w:t xml:space="preserve"> 3057, 73 </w:t>
      </w:r>
      <w:r>
        <w:rPr>
          <w:i/>
          <w:spacing w:val="-3"/>
        </w:rPr>
        <w:t>L.Ed.2d.</w:t>
      </w:r>
      <w:r>
        <w:rPr>
          <w:spacing w:val="-3"/>
        </w:rPr>
        <w:t xml:space="preserve"> 721 (1982).</w:t>
      </w:r>
    </w:p>
    <w:p w:rsidR="00F62686" w:rsidRDefault="00F62686">
      <w:pPr>
        <w:pStyle w:val="FootnoteText"/>
      </w:pPr>
    </w:p>
  </w:footnote>
  <w:footnote w:id="18">
    <w:p w:rsidR="00F62686" w:rsidRDefault="00F62686">
      <w:pPr>
        <w:pStyle w:val="FootnoteText"/>
      </w:pPr>
      <w:r>
        <w:t xml:space="preserve">     </w:t>
      </w:r>
      <w:r>
        <w:rPr>
          <w:rStyle w:val="FootnoteReference"/>
        </w:rPr>
        <w:footnoteRef/>
      </w:r>
      <w:r>
        <w:t xml:space="preserve"> </w:t>
      </w:r>
      <w:r>
        <w:rPr>
          <w:i/>
          <w:spacing w:val="-3"/>
        </w:rPr>
        <w:t>Ford Motor Co.</w:t>
      </w:r>
      <w:r>
        <w:rPr>
          <w:spacing w:val="-3"/>
        </w:rPr>
        <w:t xml:space="preserve">, </w:t>
      </w:r>
      <w:r>
        <w:rPr>
          <w:i/>
          <w:spacing w:val="-3"/>
        </w:rPr>
        <w:t>supra</w:t>
      </w:r>
      <w:r>
        <w:rPr>
          <w:spacing w:val="-3"/>
        </w:rPr>
        <w:t>.</w:t>
      </w:r>
    </w:p>
  </w:footnote>
  <w:footnote w:id="19">
    <w:p w:rsidR="00F62686" w:rsidRDefault="00F62686">
      <w:pPr>
        <w:pStyle w:val="FootnoteText"/>
      </w:pPr>
      <w:r>
        <w:t xml:space="preserve">     </w:t>
      </w:r>
      <w:r>
        <w:rPr>
          <w:rStyle w:val="FootnoteReference"/>
        </w:rPr>
        <w:footnoteRef/>
      </w:r>
      <w:r>
        <w:t xml:space="preserve"> </w:t>
      </w:r>
      <w:proofErr w:type="spellStart"/>
      <w:r>
        <w:rPr>
          <w:i/>
          <w:spacing w:val="-3"/>
        </w:rPr>
        <w:t>Muench</w:t>
      </w:r>
      <w:proofErr w:type="spellEnd"/>
      <w:r>
        <w:rPr>
          <w:i/>
          <w:spacing w:val="-3"/>
        </w:rPr>
        <w:t xml:space="preserve"> v. </w:t>
      </w:r>
      <w:smartTag w:uri="urn:schemas-microsoft-com:office:smarttags" w:element="place">
        <w:smartTag w:uri="urn:schemas-microsoft-com:office:smarttags" w:element="PlaceType">
          <w:r>
            <w:rPr>
              <w:i/>
              <w:spacing w:val="-3"/>
            </w:rPr>
            <w:t>Township</w:t>
          </w:r>
        </w:smartTag>
        <w:r>
          <w:rPr>
            <w:i/>
            <w:spacing w:val="-3"/>
          </w:rPr>
          <w:t xml:space="preserve"> of </w:t>
        </w:r>
        <w:smartTag w:uri="urn:schemas-microsoft-com:office:smarttags" w:element="PlaceName">
          <w:r>
            <w:rPr>
              <w:i/>
              <w:spacing w:val="-3"/>
            </w:rPr>
            <w:t>Haddon</w:t>
          </w:r>
        </w:smartTag>
      </w:smartTag>
      <w:r>
        <w:rPr>
          <w:spacing w:val="-3"/>
        </w:rPr>
        <w:t xml:space="preserve">, 255 </w:t>
      </w:r>
      <w:r>
        <w:rPr>
          <w:i/>
          <w:spacing w:val="-3"/>
        </w:rPr>
        <w:t>N.J. Super.</w:t>
      </w:r>
      <w:r>
        <w:rPr>
          <w:spacing w:val="-3"/>
        </w:rPr>
        <w:t xml:space="preserve"> 288, 302 (App. Div. 1992); </w:t>
      </w:r>
      <w:proofErr w:type="spellStart"/>
      <w:r>
        <w:rPr>
          <w:i/>
          <w:spacing w:val="-3"/>
        </w:rPr>
        <w:t>Kass</w:t>
      </w:r>
      <w:proofErr w:type="spellEnd"/>
      <w:r>
        <w:rPr>
          <w:i/>
          <w:spacing w:val="-3"/>
        </w:rPr>
        <w:t xml:space="preserve"> v. Brown </w:t>
      </w:r>
      <w:proofErr w:type="spellStart"/>
      <w:r>
        <w:rPr>
          <w:i/>
          <w:spacing w:val="-3"/>
        </w:rPr>
        <w:t>Boveri</w:t>
      </w:r>
      <w:proofErr w:type="spellEnd"/>
      <w:r>
        <w:rPr>
          <w:i/>
          <w:spacing w:val="-3"/>
        </w:rPr>
        <w:t xml:space="preserve"> Corp.</w:t>
      </w:r>
      <w:r>
        <w:rPr>
          <w:spacing w:val="-3"/>
        </w:rPr>
        <w:t xml:space="preserve">, 199 </w:t>
      </w:r>
      <w:r>
        <w:rPr>
          <w:i/>
          <w:spacing w:val="-3"/>
        </w:rPr>
        <w:t>N.J. Super.</w:t>
      </w:r>
      <w:r>
        <w:rPr>
          <w:spacing w:val="-3"/>
        </w:rPr>
        <w:t xml:space="preserve"> 42, 56 (App. Div. 1985); </w:t>
      </w:r>
      <w:r>
        <w:rPr>
          <w:i/>
          <w:spacing w:val="-3"/>
        </w:rPr>
        <w:t>Goss v. Exxon Office Systems Co.</w:t>
      </w:r>
      <w:r>
        <w:rPr>
          <w:spacing w:val="-3"/>
        </w:rPr>
        <w:t xml:space="preserve">, 747 </w:t>
      </w:r>
      <w:r>
        <w:rPr>
          <w:i/>
          <w:spacing w:val="-3"/>
        </w:rPr>
        <w:t>F.</w:t>
      </w:r>
      <w:r w:rsidR="00245076">
        <w:rPr>
          <w:i/>
          <w:spacing w:val="-3"/>
        </w:rPr>
        <w:t xml:space="preserve"> </w:t>
      </w:r>
      <w:r w:rsidRPr="00245076">
        <w:rPr>
          <w:spacing w:val="-3"/>
        </w:rPr>
        <w:t>2d</w:t>
      </w:r>
      <w:r>
        <w:rPr>
          <w:i/>
          <w:spacing w:val="-3"/>
        </w:rPr>
        <w:t>.</w:t>
      </w:r>
      <w:r>
        <w:rPr>
          <w:spacing w:val="-3"/>
        </w:rPr>
        <w:t xml:space="preserve"> 885, 887-89 (3d Cir. 1984).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86" w:rsidRDefault="00F62686">
    <w:pPr>
      <w:pStyle w:val="Header"/>
      <w:rPr>
        <w:b/>
        <w:smallCaps/>
        <w:sz w:val="24"/>
      </w:rPr>
    </w:pPr>
    <w:r>
      <w:rPr>
        <w:b/>
        <w:smallCaps/>
        <w:sz w:val="24"/>
      </w:rPr>
      <w:t>Charge 2.33</w:t>
    </w:r>
  </w:p>
  <w:p w:rsidR="00F62686" w:rsidRDefault="00F62686">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86" w:rsidRDefault="00F62686">
    <w:pPr>
      <w:pStyle w:val="Header"/>
      <w:jc w:val="right"/>
      <w:rPr>
        <w:b/>
        <w:bCs/>
      </w:rPr>
    </w:pPr>
    <w:r>
      <w:rPr>
        <w:b/>
        <w:bCs/>
      </w:rPr>
      <w:t xml:space="preserve">CHARGE 2.33 — Page </w:t>
    </w:r>
    <w:r>
      <w:rPr>
        <w:b/>
        <w:bCs/>
      </w:rPr>
      <w:fldChar w:fldCharType="begin"/>
    </w:r>
    <w:r>
      <w:rPr>
        <w:b/>
        <w:bCs/>
      </w:rPr>
      <w:instrText xml:space="preserve"> PAGE </w:instrText>
    </w:r>
    <w:r>
      <w:rPr>
        <w:b/>
        <w:bCs/>
      </w:rPr>
      <w:fldChar w:fldCharType="separate"/>
    </w:r>
    <w:r w:rsidR="002F6D4D">
      <w:rPr>
        <w:b/>
        <w:bCs/>
        <w:noProof/>
      </w:rPr>
      <w:t>1</w:t>
    </w:r>
    <w:r>
      <w:rPr>
        <w:b/>
        <w:bCs/>
      </w:rPr>
      <w:fldChar w:fldCharType="end"/>
    </w:r>
    <w:r>
      <w:rPr>
        <w:b/>
        <w:bCs/>
      </w:rPr>
      <w:t xml:space="preserve"> of </w:t>
    </w:r>
    <w:r>
      <w:rPr>
        <w:b/>
        <w:bCs/>
      </w:rPr>
      <w:fldChar w:fldCharType="begin"/>
    </w:r>
    <w:r>
      <w:rPr>
        <w:b/>
        <w:bCs/>
      </w:rPr>
      <w:instrText xml:space="preserve"> NUMPAGES </w:instrText>
    </w:r>
    <w:r>
      <w:rPr>
        <w:b/>
        <w:bCs/>
      </w:rPr>
      <w:fldChar w:fldCharType="separate"/>
    </w:r>
    <w:r w:rsidR="002F6D4D">
      <w:rPr>
        <w:b/>
        <w:bCs/>
        <w:noProof/>
      </w:rPr>
      <w:t>9</w:t>
    </w:r>
    <w:r>
      <w:rPr>
        <w:b/>
        <w:bCs/>
      </w:rPr>
      <w:fldChar w:fldCharType="end"/>
    </w:r>
  </w:p>
  <w:p w:rsidR="00F62686" w:rsidRDefault="00F62686">
    <w:pPr>
      <w:pStyle w:val="Heade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6C8"/>
    <w:multiLevelType w:val="hybridMultilevel"/>
    <w:tmpl w:val="CE36AE06"/>
    <w:lvl w:ilvl="0" w:tplc="35627BFC">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11367175"/>
    <w:multiLevelType w:val="hybridMultilevel"/>
    <w:tmpl w:val="FDEAAB16"/>
    <w:lvl w:ilvl="0" w:tplc="7294FDF4">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C9377F"/>
    <w:multiLevelType w:val="hybridMultilevel"/>
    <w:tmpl w:val="A2D0B520"/>
    <w:lvl w:ilvl="0" w:tplc="00B46B8E">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31"/>
    <w:rsid w:val="00095FE2"/>
    <w:rsid w:val="00146C8B"/>
    <w:rsid w:val="00245076"/>
    <w:rsid w:val="002F6D4D"/>
    <w:rsid w:val="003C6B01"/>
    <w:rsid w:val="0041414A"/>
    <w:rsid w:val="00472E62"/>
    <w:rsid w:val="00475588"/>
    <w:rsid w:val="00491C77"/>
    <w:rsid w:val="004F21B1"/>
    <w:rsid w:val="0064086F"/>
    <w:rsid w:val="00663C43"/>
    <w:rsid w:val="007263BB"/>
    <w:rsid w:val="007837FF"/>
    <w:rsid w:val="007E4C1F"/>
    <w:rsid w:val="00863769"/>
    <w:rsid w:val="00932525"/>
    <w:rsid w:val="00936A6C"/>
    <w:rsid w:val="009A656A"/>
    <w:rsid w:val="009B4083"/>
    <w:rsid w:val="009B7D55"/>
    <w:rsid w:val="009D476D"/>
    <w:rsid w:val="00AC4845"/>
    <w:rsid w:val="00AC5EB1"/>
    <w:rsid w:val="00CE16D4"/>
    <w:rsid w:val="00D01507"/>
    <w:rsid w:val="00D017E4"/>
    <w:rsid w:val="00D611B9"/>
    <w:rsid w:val="00E022BB"/>
    <w:rsid w:val="00E72631"/>
    <w:rsid w:val="00F56F2D"/>
    <w:rsid w:val="00F62686"/>
    <w:rsid w:val="00F8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jc w:val="right"/>
      <w:outlineLvl w:val="0"/>
    </w:pPr>
    <w:rPr>
      <w:b/>
      <w:smallCap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720"/>
        <w:tab w:val="left" w:pos="0"/>
        <w:tab w:val="left" w:pos="720"/>
      </w:tabs>
      <w:spacing w:after="240"/>
      <w:ind w:left="1440" w:hanging="1440"/>
      <w:jc w:val="both"/>
    </w:pPr>
    <w:rPr>
      <w:spacing w:val="-3"/>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s>
      <w:spacing w:after="180" w:line="360" w:lineRule="auto"/>
      <w:ind w:left="2160" w:hanging="720"/>
      <w:jc w:val="both"/>
    </w:pPr>
    <w:rPr>
      <w:spacing w:val="-3"/>
      <w:sz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E72631"/>
    <w:rPr>
      <w:rFonts w:ascii="Tahoma" w:hAnsi="Tahoma" w:cs="Tahoma"/>
      <w:sz w:val="16"/>
      <w:szCs w:val="16"/>
    </w:rPr>
  </w:style>
  <w:style w:type="character" w:styleId="FollowedHyperlink">
    <w:name w:val="FollowedHyperlink"/>
    <w:rsid w:val="0041414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jc w:val="right"/>
      <w:outlineLvl w:val="0"/>
    </w:pPr>
    <w:rPr>
      <w:b/>
      <w:smallCap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720"/>
        <w:tab w:val="left" w:pos="0"/>
        <w:tab w:val="left" w:pos="720"/>
      </w:tabs>
      <w:spacing w:after="240"/>
      <w:ind w:left="1440" w:hanging="1440"/>
      <w:jc w:val="both"/>
    </w:pPr>
    <w:rPr>
      <w:spacing w:val="-3"/>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s>
      <w:spacing w:after="180" w:line="360" w:lineRule="auto"/>
      <w:ind w:left="2160" w:hanging="720"/>
      <w:jc w:val="both"/>
    </w:pPr>
    <w:rPr>
      <w:spacing w:val="-3"/>
      <w:sz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E72631"/>
    <w:rPr>
      <w:rFonts w:ascii="Tahoma" w:hAnsi="Tahoma" w:cs="Tahoma"/>
      <w:sz w:val="16"/>
      <w:szCs w:val="16"/>
    </w:rPr>
  </w:style>
  <w:style w:type="character" w:styleId="FollowedHyperlink">
    <w:name w:val="FollowedHyperlink"/>
    <w:rsid w:val="004141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1241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vt:lpstr>
    </vt:vector>
  </TitlesOfParts>
  <Company>State of NJ - Judiciary</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Valued Gateway Client</dc:creator>
  <cp:lastModifiedBy>Bridget Dorney</cp:lastModifiedBy>
  <cp:revision>5</cp:revision>
  <cp:lastPrinted>2006-11-02T15:59:00Z</cp:lastPrinted>
  <dcterms:created xsi:type="dcterms:W3CDTF">2014-04-22T17:26:00Z</dcterms:created>
  <dcterms:modified xsi:type="dcterms:W3CDTF">2014-04-22T18:01:00Z</dcterms:modified>
</cp:coreProperties>
</file>