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0F" w:rsidRPr="00522903" w:rsidRDefault="00522903" w:rsidP="00522903">
      <w:pPr>
        <w:tabs>
          <w:tab w:val="left" w:pos="-720"/>
          <w:tab w:val="left" w:pos="0"/>
          <w:tab w:val="left" w:pos="720"/>
        </w:tabs>
        <w:ind w:left="1440" w:hanging="1440"/>
        <w:rPr>
          <w:b/>
          <w:iCs/>
          <w:sz w:val="28"/>
          <w:szCs w:val="28"/>
        </w:rPr>
      </w:pPr>
      <w:r>
        <w:rPr>
          <w:b/>
          <w:iCs/>
          <w:sz w:val="28"/>
          <w:szCs w:val="28"/>
        </w:rPr>
        <w:t xml:space="preserve">2.41 </w:t>
      </w:r>
      <w:r>
        <w:rPr>
          <w:b/>
          <w:iCs/>
          <w:sz w:val="28"/>
          <w:szCs w:val="28"/>
        </w:rPr>
        <w:tab/>
      </w:r>
      <w:r>
        <w:rPr>
          <w:b/>
          <w:iCs/>
          <w:sz w:val="28"/>
          <w:szCs w:val="28"/>
        </w:rPr>
        <w:tab/>
      </w:r>
      <w:r w:rsidR="00401A0F" w:rsidRPr="00522903">
        <w:rPr>
          <w:b/>
          <w:iCs/>
          <w:sz w:val="28"/>
          <w:szCs w:val="28"/>
        </w:rPr>
        <w:t>WORKER’S COMPENSATION</w:t>
      </w:r>
      <w:r w:rsidR="00312695" w:rsidRPr="00522903">
        <w:rPr>
          <w:b/>
          <w:iCs/>
          <w:sz w:val="28"/>
          <w:szCs w:val="28"/>
        </w:rPr>
        <w:t xml:space="preserve"> </w:t>
      </w:r>
      <w:r w:rsidR="004A2972" w:rsidRPr="00522903">
        <w:rPr>
          <w:b/>
          <w:iCs/>
          <w:sz w:val="28"/>
          <w:szCs w:val="28"/>
        </w:rPr>
        <w:t>RETALIATION</w:t>
      </w:r>
      <w:r w:rsidRPr="00522903">
        <w:rPr>
          <w:b/>
          <w:iCs/>
          <w:sz w:val="28"/>
          <w:szCs w:val="28"/>
        </w:rPr>
        <w:t xml:space="preserve"> </w:t>
      </w:r>
      <w:r w:rsidRPr="00522903">
        <w:rPr>
          <w:bCs/>
          <w:sz w:val="28"/>
          <w:szCs w:val="28"/>
        </w:rPr>
        <w:t>(</w:t>
      </w:r>
      <w:r>
        <w:rPr>
          <w:bCs/>
          <w:sz w:val="28"/>
          <w:szCs w:val="28"/>
        </w:rPr>
        <w:t xml:space="preserve">Approved </w:t>
      </w:r>
      <w:r w:rsidRPr="00522903">
        <w:rPr>
          <w:bCs/>
          <w:sz w:val="28"/>
          <w:szCs w:val="28"/>
        </w:rPr>
        <w:t>01/2019)</w:t>
      </w:r>
    </w:p>
    <w:p w:rsidR="00522903" w:rsidRPr="00522903" w:rsidRDefault="00522903" w:rsidP="004A2972">
      <w:pPr>
        <w:tabs>
          <w:tab w:val="left" w:pos="-720"/>
          <w:tab w:val="left" w:pos="0"/>
          <w:tab w:val="left" w:pos="720"/>
        </w:tabs>
        <w:jc w:val="center"/>
        <w:rPr>
          <w:b/>
          <w:iCs/>
          <w:sz w:val="28"/>
          <w:szCs w:val="28"/>
        </w:rPr>
      </w:pPr>
    </w:p>
    <w:p w:rsidR="00401A0F" w:rsidRPr="00522903" w:rsidRDefault="000A1DC5" w:rsidP="004A2972">
      <w:pPr>
        <w:spacing w:line="480" w:lineRule="auto"/>
        <w:ind w:firstLine="720"/>
        <w:jc w:val="both"/>
        <w:rPr>
          <w:sz w:val="28"/>
          <w:szCs w:val="28"/>
        </w:rPr>
      </w:pPr>
      <w:r w:rsidRPr="00522903">
        <w:rPr>
          <w:sz w:val="28"/>
          <w:szCs w:val="28"/>
        </w:rPr>
        <w:t>The worker’s compensation act makes it</w:t>
      </w:r>
      <w:r w:rsidR="00387546" w:rsidRPr="00522903">
        <w:rPr>
          <w:sz w:val="28"/>
          <w:szCs w:val="28"/>
        </w:rPr>
        <w:t xml:space="preserve"> unlawful for an employer </w:t>
      </w:r>
      <w:r w:rsidR="00E933F9" w:rsidRPr="00522903">
        <w:rPr>
          <w:sz w:val="28"/>
          <w:szCs w:val="28"/>
        </w:rPr>
        <w:t xml:space="preserve">(or its duly authorized agent) </w:t>
      </w:r>
      <w:r w:rsidR="00387546" w:rsidRPr="00522903">
        <w:rPr>
          <w:sz w:val="28"/>
          <w:szCs w:val="28"/>
        </w:rPr>
        <w:t xml:space="preserve">to discharge or in any other manner discriminate against an employee as to </w:t>
      </w:r>
      <w:r w:rsidR="004A2972" w:rsidRPr="00522903">
        <w:rPr>
          <w:sz w:val="28"/>
          <w:szCs w:val="28"/>
        </w:rPr>
        <w:t>[</w:t>
      </w:r>
      <w:r w:rsidR="004A2972" w:rsidRPr="00522903">
        <w:rPr>
          <w:i/>
          <w:sz w:val="28"/>
          <w:szCs w:val="28"/>
        </w:rPr>
        <w:t>his/her</w:t>
      </w:r>
      <w:r w:rsidR="004A2972" w:rsidRPr="00522903">
        <w:rPr>
          <w:sz w:val="28"/>
          <w:szCs w:val="28"/>
        </w:rPr>
        <w:t>]</w:t>
      </w:r>
      <w:r w:rsidR="00387546" w:rsidRPr="00522903">
        <w:rPr>
          <w:sz w:val="28"/>
          <w:szCs w:val="28"/>
        </w:rPr>
        <w:t xml:space="preserve"> employment because </w:t>
      </w:r>
      <w:r w:rsidR="00E7628B" w:rsidRPr="00522903">
        <w:rPr>
          <w:sz w:val="28"/>
          <w:szCs w:val="28"/>
        </w:rPr>
        <w:t>the</w:t>
      </w:r>
      <w:r w:rsidR="00387546" w:rsidRPr="00522903">
        <w:rPr>
          <w:sz w:val="28"/>
          <w:szCs w:val="28"/>
        </w:rPr>
        <w:t xml:space="preserve"> employee has claimed or attempted to claim worker’s compensation benefits from </w:t>
      </w:r>
      <w:r w:rsidR="00E7628B" w:rsidRPr="00522903">
        <w:rPr>
          <w:sz w:val="28"/>
          <w:szCs w:val="28"/>
        </w:rPr>
        <w:t>the</w:t>
      </w:r>
      <w:r w:rsidR="00387546" w:rsidRPr="00522903">
        <w:rPr>
          <w:sz w:val="28"/>
          <w:szCs w:val="28"/>
        </w:rPr>
        <w:t xml:space="preserve"> employer.</w:t>
      </w:r>
      <w:r w:rsidR="00387546" w:rsidRPr="00522903">
        <w:rPr>
          <w:rStyle w:val="FootnoteReference"/>
          <w:sz w:val="28"/>
          <w:szCs w:val="28"/>
        </w:rPr>
        <w:footnoteReference w:id="1"/>
      </w:r>
      <w:r w:rsidR="00387546" w:rsidRPr="00522903">
        <w:rPr>
          <w:sz w:val="28"/>
          <w:szCs w:val="28"/>
        </w:rPr>
        <w:t xml:space="preserve"> </w:t>
      </w:r>
      <w:r w:rsidR="00401A0F" w:rsidRPr="00522903">
        <w:rPr>
          <w:sz w:val="28"/>
          <w:szCs w:val="28"/>
        </w:rPr>
        <w:t xml:space="preserve">Plaintiff claims that the defendant </w:t>
      </w:r>
      <w:r w:rsidR="00FB02EF" w:rsidRPr="00522903">
        <w:rPr>
          <w:sz w:val="28"/>
          <w:szCs w:val="28"/>
        </w:rPr>
        <w:t>[</w:t>
      </w:r>
      <w:r w:rsidR="00FB02EF" w:rsidRPr="00522903">
        <w:rPr>
          <w:i/>
          <w:sz w:val="28"/>
          <w:szCs w:val="28"/>
        </w:rPr>
        <w:t>insert retaliatory action</w:t>
      </w:r>
      <w:r w:rsidR="00FB02EF" w:rsidRPr="00522903">
        <w:rPr>
          <w:sz w:val="28"/>
          <w:szCs w:val="28"/>
        </w:rPr>
        <w:t xml:space="preserve">] </w:t>
      </w:r>
      <w:r w:rsidR="00401A0F" w:rsidRPr="00522903">
        <w:rPr>
          <w:sz w:val="28"/>
          <w:szCs w:val="28"/>
        </w:rPr>
        <w:t xml:space="preserve">against </w:t>
      </w:r>
      <w:r w:rsidR="004A2972" w:rsidRPr="00522903">
        <w:rPr>
          <w:sz w:val="28"/>
          <w:szCs w:val="28"/>
        </w:rPr>
        <w:t>[</w:t>
      </w:r>
      <w:r w:rsidR="004A2972" w:rsidRPr="00522903">
        <w:rPr>
          <w:i/>
          <w:sz w:val="28"/>
          <w:szCs w:val="28"/>
        </w:rPr>
        <w:t>him/her</w:t>
      </w:r>
      <w:r w:rsidR="004A2972" w:rsidRPr="00522903">
        <w:rPr>
          <w:sz w:val="28"/>
          <w:szCs w:val="28"/>
        </w:rPr>
        <w:t>] because [</w:t>
      </w:r>
      <w:r w:rsidR="004A2972" w:rsidRPr="00522903">
        <w:rPr>
          <w:i/>
          <w:sz w:val="28"/>
          <w:szCs w:val="28"/>
        </w:rPr>
        <w:t>he/she</w:t>
      </w:r>
      <w:r w:rsidR="004A2972" w:rsidRPr="00522903">
        <w:rPr>
          <w:sz w:val="28"/>
          <w:szCs w:val="28"/>
        </w:rPr>
        <w:t>] filed a petition for worker’s compensation</w:t>
      </w:r>
      <w:r w:rsidR="00401A0F" w:rsidRPr="00522903">
        <w:rPr>
          <w:sz w:val="28"/>
          <w:szCs w:val="28"/>
        </w:rPr>
        <w:t xml:space="preserve">.  Defendant denies these allegations and instead maintains that </w:t>
      </w:r>
      <w:r w:rsidR="00F4344A">
        <w:rPr>
          <w:sz w:val="28"/>
          <w:szCs w:val="28"/>
        </w:rPr>
        <w:t>[</w:t>
      </w:r>
      <w:r w:rsidR="00F4344A" w:rsidRPr="00F4344A">
        <w:rPr>
          <w:i/>
          <w:sz w:val="28"/>
          <w:szCs w:val="28"/>
        </w:rPr>
        <w:t>he/she/it</w:t>
      </w:r>
      <w:r w:rsidR="00F4344A">
        <w:rPr>
          <w:sz w:val="28"/>
          <w:szCs w:val="28"/>
        </w:rPr>
        <w:t xml:space="preserve">] </w:t>
      </w:r>
      <w:r w:rsidR="00FB02EF" w:rsidRPr="00522903">
        <w:rPr>
          <w:sz w:val="28"/>
          <w:szCs w:val="28"/>
        </w:rPr>
        <w:t>[</w:t>
      </w:r>
      <w:r w:rsidR="00FB02EF" w:rsidRPr="00522903">
        <w:rPr>
          <w:i/>
          <w:sz w:val="28"/>
          <w:szCs w:val="28"/>
        </w:rPr>
        <w:t>insert retaliatory action</w:t>
      </w:r>
      <w:r w:rsidR="00FB02EF" w:rsidRPr="00522903">
        <w:rPr>
          <w:sz w:val="28"/>
          <w:szCs w:val="28"/>
        </w:rPr>
        <w:t xml:space="preserve">] </w:t>
      </w:r>
      <w:r w:rsidR="00387546" w:rsidRPr="00522903">
        <w:rPr>
          <w:sz w:val="28"/>
          <w:szCs w:val="28"/>
        </w:rPr>
        <w:t xml:space="preserve">plaintiff </w:t>
      </w:r>
      <w:r w:rsidR="00401A0F" w:rsidRPr="00522903">
        <w:rPr>
          <w:sz w:val="28"/>
          <w:szCs w:val="28"/>
        </w:rPr>
        <w:t xml:space="preserve">because </w:t>
      </w:r>
      <w:r w:rsidR="00387546" w:rsidRPr="00522903">
        <w:rPr>
          <w:sz w:val="28"/>
          <w:szCs w:val="28"/>
        </w:rPr>
        <w:t>[</w:t>
      </w:r>
      <w:r w:rsidR="00387546" w:rsidRPr="00522903">
        <w:rPr>
          <w:i/>
          <w:sz w:val="28"/>
          <w:szCs w:val="28"/>
        </w:rPr>
        <w:t xml:space="preserve">insert employer’s proffered reason for </w:t>
      </w:r>
      <w:r w:rsidR="002B3811" w:rsidRPr="00522903">
        <w:rPr>
          <w:i/>
          <w:sz w:val="28"/>
          <w:szCs w:val="28"/>
        </w:rPr>
        <w:t>its action</w:t>
      </w:r>
      <w:r w:rsidR="00387546" w:rsidRPr="00522903">
        <w:rPr>
          <w:sz w:val="28"/>
          <w:szCs w:val="28"/>
        </w:rPr>
        <w:t>].</w:t>
      </w:r>
    </w:p>
    <w:p w:rsidR="00401A0F" w:rsidRPr="00522903" w:rsidRDefault="00401A0F" w:rsidP="004A2972">
      <w:pPr>
        <w:pStyle w:val="BodyTextIndent"/>
        <w:spacing w:after="0" w:line="480" w:lineRule="auto"/>
        <w:ind w:left="0" w:firstLine="0"/>
        <w:jc w:val="left"/>
        <w:rPr>
          <w:b w:val="0"/>
        </w:rPr>
      </w:pPr>
      <w:r w:rsidRPr="00522903">
        <w:rPr>
          <w:b w:val="0"/>
        </w:rPr>
        <w:tab/>
        <w:t xml:space="preserve">To prevail on </w:t>
      </w:r>
      <w:r w:rsidR="004A2972" w:rsidRPr="00522903">
        <w:rPr>
          <w:b w:val="0"/>
        </w:rPr>
        <w:t>[</w:t>
      </w:r>
      <w:r w:rsidRPr="00522903">
        <w:rPr>
          <w:b w:val="0"/>
          <w:i/>
        </w:rPr>
        <w:t>his</w:t>
      </w:r>
      <w:r w:rsidR="00387546" w:rsidRPr="00522903">
        <w:rPr>
          <w:b w:val="0"/>
          <w:i/>
        </w:rPr>
        <w:t>/her</w:t>
      </w:r>
      <w:r w:rsidR="004A2972" w:rsidRPr="00522903">
        <w:rPr>
          <w:b w:val="0"/>
        </w:rPr>
        <w:t xml:space="preserve">] </w:t>
      </w:r>
      <w:r w:rsidRPr="00522903">
        <w:rPr>
          <w:b w:val="0"/>
        </w:rPr>
        <w:t>claim, the plaintiff must prove all of the following elements by a preponderance of the evidence:</w:t>
      </w:r>
    </w:p>
    <w:p w:rsidR="00401A0F" w:rsidRPr="00522903" w:rsidRDefault="00401A0F" w:rsidP="004A2972">
      <w:pPr>
        <w:ind w:left="720"/>
        <w:jc w:val="both"/>
        <w:rPr>
          <w:sz w:val="28"/>
          <w:szCs w:val="28"/>
        </w:rPr>
      </w:pPr>
      <w:r w:rsidRPr="00522903">
        <w:rPr>
          <w:b/>
          <w:sz w:val="28"/>
          <w:szCs w:val="28"/>
        </w:rPr>
        <w:t>First:</w:t>
      </w:r>
      <w:r w:rsidRPr="00522903">
        <w:rPr>
          <w:sz w:val="28"/>
          <w:szCs w:val="28"/>
        </w:rPr>
        <w:t xml:space="preserve"> The plaintiff </w:t>
      </w:r>
      <w:r w:rsidR="00E933F9" w:rsidRPr="00522903">
        <w:rPr>
          <w:sz w:val="28"/>
          <w:szCs w:val="28"/>
        </w:rPr>
        <w:t>claimed or attempted to</w:t>
      </w:r>
      <w:r w:rsidRPr="00522903">
        <w:rPr>
          <w:sz w:val="28"/>
          <w:szCs w:val="28"/>
        </w:rPr>
        <w:t xml:space="preserve"> claim worker’s compensation benefits</w:t>
      </w:r>
      <w:r w:rsidR="000B0457" w:rsidRPr="00522903">
        <w:rPr>
          <w:sz w:val="28"/>
          <w:szCs w:val="28"/>
        </w:rPr>
        <w:t>;</w:t>
      </w:r>
    </w:p>
    <w:p w:rsidR="004A2972" w:rsidRPr="00522903" w:rsidRDefault="004A2972" w:rsidP="004A2972">
      <w:pPr>
        <w:ind w:left="720"/>
        <w:jc w:val="both"/>
        <w:rPr>
          <w:b/>
          <w:sz w:val="28"/>
          <w:szCs w:val="28"/>
        </w:rPr>
      </w:pPr>
    </w:p>
    <w:p w:rsidR="00401A0F" w:rsidRPr="00522903" w:rsidRDefault="00401A0F" w:rsidP="004A2972">
      <w:pPr>
        <w:ind w:left="720"/>
        <w:jc w:val="both"/>
        <w:rPr>
          <w:i/>
          <w:iCs/>
          <w:sz w:val="28"/>
          <w:szCs w:val="28"/>
        </w:rPr>
      </w:pPr>
      <w:r w:rsidRPr="00522903">
        <w:rPr>
          <w:b/>
          <w:sz w:val="28"/>
          <w:szCs w:val="28"/>
        </w:rPr>
        <w:t xml:space="preserve">Second: </w:t>
      </w:r>
      <w:r w:rsidR="000B0457" w:rsidRPr="00522903">
        <w:rPr>
          <w:sz w:val="28"/>
          <w:szCs w:val="28"/>
        </w:rPr>
        <w:t>The defendant took retaliatory</w:t>
      </w:r>
      <w:r w:rsidR="00FB02EF" w:rsidRPr="00522903">
        <w:rPr>
          <w:sz w:val="28"/>
          <w:szCs w:val="28"/>
        </w:rPr>
        <w:t xml:space="preserve"> action </w:t>
      </w:r>
      <w:r w:rsidR="000B0457" w:rsidRPr="00522903">
        <w:rPr>
          <w:sz w:val="28"/>
          <w:szCs w:val="28"/>
        </w:rPr>
        <w:t xml:space="preserve">against the plaintiff </w:t>
      </w:r>
      <w:r w:rsidRPr="00522903">
        <w:rPr>
          <w:sz w:val="28"/>
          <w:szCs w:val="28"/>
        </w:rPr>
        <w:t xml:space="preserve">at the time, or after, the </w:t>
      </w:r>
      <w:r w:rsidR="000B0457" w:rsidRPr="00522903">
        <w:rPr>
          <w:sz w:val="28"/>
          <w:szCs w:val="28"/>
        </w:rPr>
        <w:t>plaintiff claimed or attempted to claim workers’ compensation benefits;</w:t>
      </w:r>
    </w:p>
    <w:p w:rsidR="004A2972" w:rsidRPr="00522903" w:rsidRDefault="004A2972" w:rsidP="004A2972">
      <w:pPr>
        <w:ind w:left="720"/>
        <w:jc w:val="both"/>
        <w:rPr>
          <w:b/>
          <w:sz w:val="28"/>
          <w:szCs w:val="28"/>
        </w:rPr>
      </w:pPr>
    </w:p>
    <w:p w:rsidR="00401A0F" w:rsidRPr="00522903" w:rsidRDefault="00401A0F" w:rsidP="004A2972">
      <w:pPr>
        <w:ind w:left="720"/>
        <w:jc w:val="both"/>
        <w:rPr>
          <w:sz w:val="28"/>
          <w:szCs w:val="28"/>
        </w:rPr>
      </w:pPr>
      <w:r w:rsidRPr="00522903">
        <w:rPr>
          <w:b/>
          <w:sz w:val="28"/>
          <w:szCs w:val="28"/>
        </w:rPr>
        <w:t>Third:</w:t>
      </w:r>
      <w:r w:rsidRPr="00522903">
        <w:rPr>
          <w:sz w:val="28"/>
          <w:szCs w:val="28"/>
        </w:rPr>
        <w:t xml:space="preserve"> There was a causal connection between the </w:t>
      </w:r>
      <w:r w:rsidR="000B0457" w:rsidRPr="00522903">
        <w:rPr>
          <w:sz w:val="28"/>
          <w:szCs w:val="28"/>
        </w:rPr>
        <w:t xml:space="preserve">retaliatory </w:t>
      </w:r>
      <w:r w:rsidR="00FB02EF" w:rsidRPr="00522903">
        <w:rPr>
          <w:sz w:val="28"/>
          <w:szCs w:val="28"/>
        </w:rPr>
        <w:t>action</w:t>
      </w:r>
      <w:r w:rsidRPr="00522903">
        <w:rPr>
          <w:sz w:val="28"/>
          <w:szCs w:val="28"/>
        </w:rPr>
        <w:t xml:space="preserve"> and </w:t>
      </w:r>
      <w:r w:rsidR="00FB02EF" w:rsidRPr="00522903">
        <w:rPr>
          <w:sz w:val="28"/>
          <w:szCs w:val="28"/>
        </w:rPr>
        <w:t xml:space="preserve">the plaintiff’s </w:t>
      </w:r>
      <w:r w:rsidRPr="00522903">
        <w:rPr>
          <w:sz w:val="28"/>
          <w:szCs w:val="28"/>
        </w:rPr>
        <w:t xml:space="preserve">claim </w:t>
      </w:r>
      <w:r w:rsidR="00653913" w:rsidRPr="00522903">
        <w:rPr>
          <w:sz w:val="28"/>
          <w:szCs w:val="28"/>
        </w:rPr>
        <w:t>or attempt to claim</w:t>
      </w:r>
      <w:r w:rsidRPr="00522903">
        <w:rPr>
          <w:sz w:val="28"/>
          <w:szCs w:val="28"/>
        </w:rPr>
        <w:t xml:space="preserve"> worker’s compensation benefits sufficient to show that plaintiff’s </w:t>
      </w:r>
      <w:r w:rsidR="00FB02EF" w:rsidRPr="00522903">
        <w:rPr>
          <w:sz w:val="28"/>
          <w:szCs w:val="28"/>
        </w:rPr>
        <w:t xml:space="preserve">claim or attempt to claim </w:t>
      </w:r>
      <w:r w:rsidRPr="00522903">
        <w:rPr>
          <w:sz w:val="28"/>
          <w:szCs w:val="28"/>
        </w:rPr>
        <w:t xml:space="preserve">worker’s compensation </w:t>
      </w:r>
      <w:r w:rsidR="00FB02EF" w:rsidRPr="00522903">
        <w:rPr>
          <w:sz w:val="28"/>
          <w:szCs w:val="28"/>
        </w:rPr>
        <w:t xml:space="preserve">benefits </w:t>
      </w:r>
      <w:r w:rsidRPr="00522903">
        <w:rPr>
          <w:sz w:val="28"/>
          <w:szCs w:val="28"/>
        </w:rPr>
        <w:t>played a role and made an actual difference in the defendant’s</w:t>
      </w:r>
      <w:r w:rsidRPr="00522903">
        <w:rPr>
          <w:i/>
          <w:sz w:val="28"/>
          <w:szCs w:val="28"/>
        </w:rPr>
        <w:t xml:space="preserve"> </w:t>
      </w:r>
      <w:r w:rsidRPr="00522903">
        <w:rPr>
          <w:sz w:val="28"/>
          <w:szCs w:val="28"/>
        </w:rPr>
        <w:t xml:space="preserve">decision to </w:t>
      </w:r>
      <w:r w:rsidR="008C53D3" w:rsidRPr="00522903">
        <w:rPr>
          <w:sz w:val="28"/>
          <w:szCs w:val="28"/>
        </w:rPr>
        <w:t>[</w:t>
      </w:r>
      <w:r w:rsidR="008C53D3" w:rsidRPr="00522903">
        <w:rPr>
          <w:i/>
          <w:sz w:val="28"/>
          <w:szCs w:val="28"/>
        </w:rPr>
        <w:t xml:space="preserve">insert </w:t>
      </w:r>
      <w:r w:rsidR="000B0457" w:rsidRPr="00522903">
        <w:rPr>
          <w:i/>
          <w:sz w:val="28"/>
          <w:szCs w:val="28"/>
        </w:rPr>
        <w:t>retaliatory</w:t>
      </w:r>
      <w:r w:rsidR="008C53D3" w:rsidRPr="00522903">
        <w:rPr>
          <w:i/>
          <w:sz w:val="28"/>
          <w:szCs w:val="28"/>
        </w:rPr>
        <w:t xml:space="preserve"> action</w:t>
      </w:r>
      <w:r w:rsidR="008C53D3" w:rsidRPr="00522903">
        <w:rPr>
          <w:sz w:val="28"/>
          <w:szCs w:val="28"/>
        </w:rPr>
        <w:t>]</w:t>
      </w:r>
      <w:r w:rsidRPr="00522903">
        <w:rPr>
          <w:sz w:val="28"/>
          <w:szCs w:val="28"/>
        </w:rPr>
        <w:t xml:space="preserve">. </w:t>
      </w:r>
    </w:p>
    <w:p w:rsidR="004A2972" w:rsidRPr="00522903" w:rsidRDefault="00401A0F" w:rsidP="004A2972">
      <w:pPr>
        <w:spacing w:line="480" w:lineRule="auto"/>
        <w:jc w:val="both"/>
        <w:rPr>
          <w:sz w:val="28"/>
          <w:szCs w:val="28"/>
        </w:rPr>
      </w:pPr>
      <w:r w:rsidRPr="00522903">
        <w:rPr>
          <w:sz w:val="28"/>
          <w:szCs w:val="28"/>
        </w:rPr>
        <w:tab/>
      </w:r>
    </w:p>
    <w:p w:rsidR="00401A0F" w:rsidRPr="00522903" w:rsidRDefault="00401A0F" w:rsidP="004A2972">
      <w:pPr>
        <w:spacing w:line="480" w:lineRule="auto"/>
        <w:ind w:firstLine="720"/>
        <w:jc w:val="both"/>
        <w:rPr>
          <w:sz w:val="28"/>
          <w:szCs w:val="28"/>
        </w:rPr>
      </w:pPr>
      <w:r w:rsidRPr="00522903">
        <w:rPr>
          <w:sz w:val="28"/>
          <w:szCs w:val="28"/>
        </w:rPr>
        <w:lastRenderedPageBreak/>
        <w:t>I will now discuss each of these three elements with you in more detail:</w:t>
      </w:r>
    </w:p>
    <w:p w:rsidR="000B0457" w:rsidRPr="00522903" w:rsidRDefault="00401A0F" w:rsidP="004A2972">
      <w:pPr>
        <w:pStyle w:val="BodyTextIndent2"/>
        <w:spacing w:line="480" w:lineRule="auto"/>
        <w:ind w:left="0" w:firstLine="0"/>
      </w:pPr>
      <w:r w:rsidRPr="00522903">
        <w:tab/>
        <w:t xml:space="preserve">To establish this first element of </w:t>
      </w:r>
      <w:r w:rsidR="004A2972" w:rsidRPr="00522903">
        <w:t>[</w:t>
      </w:r>
      <w:r w:rsidR="004A2972" w:rsidRPr="00522903">
        <w:rPr>
          <w:i/>
        </w:rPr>
        <w:t>his/her</w:t>
      </w:r>
      <w:r w:rsidR="004A2972" w:rsidRPr="00522903">
        <w:t>]</w:t>
      </w:r>
      <w:r w:rsidRPr="00522903">
        <w:t xml:space="preserve"> case, the plaintiff must prove that </w:t>
      </w:r>
      <w:r w:rsidR="004A2972" w:rsidRPr="00522903">
        <w:t>[</w:t>
      </w:r>
      <w:r w:rsidRPr="00522903">
        <w:rPr>
          <w:i/>
        </w:rPr>
        <w:t>he</w:t>
      </w:r>
      <w:r w:rsidR="00D36171" w:rsidRPr="00522903">
        <w:rPr>
          <w:i/>
        </w:rPr>
        <w:t>/she</w:t>
      </w:r>
      <w:r w:rsidR="004A2972" w:rsidRPr="00522903">
        <w:t>]</w:t>
      </w:r>
      <w:r w:rsidRPr="00522903">
        <w:t xml:space="preserve"> </w:t>
      </w:r>
      <w:r w:rsidR="00D36171" w:rsidRPr="00522903">
        <w:t>claimed or attempted to</w:t>
      </w:r>
      <w:r w:rsidRPr="00522903">
        <w:t xml:space="preserve"> claim worker’s compensation benefits </w:t>
      </w:r>
      <w:r w:rsidR="002F4049" w:rsidRPr="00522903">
        <w:t xml:space="preserve">from </w:t>
      </w:r>
      <w:r w:rsidRPr="00522903">
        <w:t>the defendant.</w:t>
      </w:r>
      <w:r w:rsidR="00387546" w:rsidRPr="00522903">
        <w:t xml:space="preserve"> To prove this element of </w:t>
      </w:r>
      <w:r w:rsidR="004A2972" w:rsidRPr="00522903">
        <w:t>[</w:t>
      </w:r>
      <w:r w:rsidR="004A2972" w:rsidRPr="00522903">
        <w:rPr>
          <w:i/>
        </w:rPr>
        <w:t>his/her</w:t>
      </w:r>
      <w:r w:rsidR="004A2972" w:rsidRPr="00522903">
        <w:t>]</w:t>
      </w:r>
      <w:r w:rsidR="00387546" w:rsidRPr="00522903">
        <w:t xml:space="preserve"> case, the plaintiff</w:t>
      </w:r>
      <w:r w:rsidR="008C53D3" w:rsidRPr="00522903">
        <w:t xml:space="preserve"> may but </w:t>
      </w:r>
      <w:r w:rsidR="00387546" w:rsidRPr="00522903">
        <w:t xml:space="preserve">is not required to show that </w:t>
      </w:r>
      <w:r w:rsidR="004A2972" w:rsidRPr="00522903">
        <w:t>[</w:t>
      </w:r>
      <w:r w:rsidR="004A2972" w:rsidRPr="00522903">
        <w:rPr>
          <w:i/>
        </w:rPr>
        <w:t>he/she</w:t>
      </w:r>
      <w:r w:rsidR="004A2972" w:rsidRPr="00522903">
        <w:t>]</w:t>
      </w:r>
      <w:r w:rsidR="00387546" w:rsidRPr="00522903">
        <w:t xml:space="preserve"> physically filed a claim petition </w:t>
      </w:r>
      <w:r w:rsidR="000B0457" w:rsidRPr="00522903">
        <w:t>for</w:t>
      </w:r>
      <w:r w:rsidR="00387546" w:rsidRPr="00522903">
        <w:t xml:space="preserve"> worker’s compensation</w:t>
      </w:r>
      <w:r w:rsidR="00E25262" w:rsidRPr="00522903">
        <w:t xml:space="preserve"> benefits</w:t>
      </w:r>
      <w:r w:rsidR="00387546" w:rsidRPr="00522903">
        <w:t>.</w:t>
      </w:r>
      <w:r w:rsidR="00387546" w:rsidRPr="00522903">
        <w:rPr>
          <w:rStyle w:val="FootnoteReference"/>
        </w:rPr>
        <w:footnoteReference w:id="2"/>
      </w:r>
      <w:r w:rsidR="00387546" w:rsidRPr="00522903">
        <w:t xml:space="preserve">  Rather, the plaintiff must show only that </w:t>
      </w:r>
      <w:r w:rsidR="004A2972" w:rsidRPr="00522903">
        <w:t>[</w:t>
      </w:r>
      <w:r w:rsidR="004A2972" w:rsidRPr="00522903">
        <w:rPr>
          <w:i/>
        </w:rPr>
        <w:t>he/she</w:t>
      </w:r>
      <w:r w:rsidR="004A2972" w:rsidRPr="00522903">
        <w:t>]</w:t>
      </w:r>
      <w:r w:rsidR="00D31B68" w:rsidRPr="00522903">
        <w:t xml:space="preserve"> notified </w:t>
      </w:r>
      <w:r w:rsidR="004A2972" w:rsidRPr="00522903">
        <w:t>[</w:t>
      </w:r>
      <w:r w:rsidR="004A2972" w:rsidRPr="00522903">
        <w:rPr>
          <w:i/>
        </w:rPr>
        <w:t>his/her</w:t>
      </w:r>
      <w:r w:rsidR="004A2972" w:rsidRPr="00522903">
        <w:t>]</w:t>
      </w:r>
      <w:r w:rsidR="00D31B68" w:rsidRPr="00522903">
        <w:t xml:space="preserve"> employer of </w:t>
      </w:r>
      <w:r w:rsidR="004A2972" w:rsidRPr="00522903">
        <w:t>[</w:t>
      </w:r>
      <w:r w:rsidR="004A2972" w:rsidRPr="00522903">
        <w:rPr>
          <w:i/>
        </w:rPr>
        <w:t>his/her</w:t>
      </w:r>
      <w:r w:rsidR="004A2972" w:rsidRPr="00522903">
        <w:t>]</w:t>
      </w:r>
      <w:r w:rsidR="00D31B68" w:rsidRPr="00522903">
        <w:t xml:space="preserve"> injury and inquired of the procedure for claiming benefits</w:t>
      </w:r>
      <w:r w:rsidR="000B0457" w:rsidRPr="00522903">
        <w:t>.</w:t>
      </w:r>
      <w:r w:rsidR="00D31B68" w:rsidRPr="00522903">
        <w:rPr>
          <w:rStyle w:val="FootnoteReference"/>
        </w:rPr>
        <w:footnoteReference w:id="3"/>
      </w:r>
      <w:r w:rsidR="00D31B68" w:rsidRPr="00522903">
        <w:t xml:space="preserve"> </w:t>
      </w:r>
    </w:p>
    <w:p w:rsidR="000B0457" w:rsidRPr="00522903" w:rsidRDefault="00522903" w:rsidP="004A2972">
      <w:pPr>
        <w:pStyle w:val="BodyTextIndent2"/>
        <w:spacing w:line="480" w:lineRule="auto"/>
        <w:ind w:left="0" w:firstLine="0"/>
        <w:jc w:val="center"/>
        <w:rPr>
          <w:b/>
          <w:i/>
        </w:rPr>
      </w:pPr>
      <w:r w:rsidRPr="00522903">
        <w:rPr>
          <w:b/>
          <w:i/>
        </w:rPr>
        <w:t>NOTE TO JUDGE</w:t>
      </w:r>
    </w:p>
    <w:p w:rsidR="00401A0F" w:rsidRPr="00522903" w:rsidRDefault="000B0457" w:rsidP="00522903">
      <w:pPr>
        <w:pStyle w:val="BodyTextIndent2"/>
        <w:tabs>
          <w:tab w:val="clear" w:pos="0"/>
          <w:tab w:val="clear" w:pos="720"/>
        </w:tabs>
        <w:ind w:left="720" w:right="720" w:firstLine="0"/>
        <w:rPr>
          <w:color w:val="000000"/>
        </w:rPr>
      </w:pPr>
      <w:r w:rsidRPr="00522903">
        <w:t xml:space="preserve">The plaintiff may also prove this element of the case by showing that </w:t>
      </w:r>
      <w:r w:rsidR="004A2972" w:rsidRPr="00522903">
        <w:t>he/she</w:t>
      </w:r>
      <w:r w:rsidR="00D31B68" w:rsidRPr="00522903">
        <w:t xml:space="preserve"> exercised a right protected by the worker</w:t>
      </w:r>
      <w:r w:rsidRPr="00522903">
        <w:t>’s</w:t>
      </w:r>
      <w:r w:rsidR="00D31B68" w:rsidRPr="00522903">
        <w:t xml:space="preserve"> compensation act.</w:t>
      </w:r>
      <w:r w:rsidRPr="00522903">
        <w:rPr>
          <w:i/>
        </w:rPr>
        <w:t xml:space="preserve"> See, e.g., Carter, supra,</w:t>
      </w:r>
      <w:r w:rsidRPr="00522903">
        <w:t xml:space="preserve"> 344 </w:t>
      </w:r>
      <w:r w:rsidRPr="00522903">
        <w:rPr>
          <w:i/>
        </w:rPr>
        <w:t>N.J.</w:t>
      </w:r>
      <w:r w:rsidR="00653913" w:rsidRPr="00522903">
        <w:rPr>
          <w:i/>
        </w:rPr>
        <w:t xml:space="preserve"> </w:t>
      </w:r>
      <w:r w:rsidRPr="00522903">
        <w:rPr>
          <w:i/>
        </w:rPr>
        <w:t>Super.</w:t>
      </w:r>
      <w:r w:rsidRPr="00522903">
        <w:t xml:space="preserve"> </w:t>
      </w:r>
      <w:proofErr w:type="gramStart"/>
      <w:r w:rsidRPr="00522903">
        <w:t>at</w:t>
      </w:r>
      <w:proofErr w:type="gramEnd"/>
      <w:r w:rsidRPr="00522903">
        <w:t xml:space="preserve"> 555 (termination for attending medical appointment for work-related injury constitutes the claiming of worker’s compensation benefits); </w:t>
      </w:r>
      <w:proofErr w:type="spellStart"/>
      <w:r w:rsidRPr="00522903">
        <w:rPr>
          <w:i/>
          <w:color w:val="000000"/>
        </w:rPr>
        <w:t>Galante</w:t>
      </w:r>
      <w:proofErr w:type="spellEnd"/>
      <w:r w:rsidRPr="00522903">
        <w:rPr>
          <w:i/>
          <w:color w:val="000000"/>
        </w:rPr>
        <w:t xml:space="preserve"> v. Sandoz</w:t>
      </w:r>
      <w:r w:rsidRPr="00522903">
        <w:rPr>
          <w:color w:val="000000"/>
        </w:rPr>
        <w:t xml:space="preserve">, 196 </w:t>
      </w:r>
      <w:r w:rsidRPr="00522903">
        <w:rPr>
          <w:i/>
          <w:color w:val="000000"/>
        </w:rPr>
        <w:t>N.J.</w:t>
      </w:r>
      <w:r w:rsidR="00653913" w:rsidRPr="00522903">
        <w:rPr>
          <w:i/>
          <w:color w:val="000000"/>
        </w:rPr>
        <w:t xml:space="preserve"> </w:t>
      </w:r>
      <w:r w:rsidRPr="00522903">
        <w:rPr>
          <w:i/>
          <w:color w:val="000000"/>
        </w:rPr>
        <w:t>Super</w:t>
      </w:r>
      <w:r w:rsidRPr="00522903">
        <w:rPr>
          <w:color w:val="000000"/>
          <w:u w:val="single"/>
        </w:rPr>
        <w:t>.</w:t>
      </w:r>
      <w:r w:rsidRPr="00522903">
        <w:rPr>
          <w:color w:val="000000"/>
        </w:rPr>
        <w:t xml:space="preserve"> 568, 570 (App. Div. 1984) (time off with statutory compensation during a period of temporary disability is a worker’s compensation benefit).  In such cases, the charge should be tailored to the facts of the case.</w:t>
      </w:r>
    </w:p>
    <w:p w:rsidR="000B0457" w:rsidRPr="00522903" w:rsidRDefault="000B0457" w:rsidP="004A2972">
      <w:pPr>
        <w:pStyle w:val="BodyTextIndent2"/>
        <w:ind w:left="0" w:firstLine="0"/>
      </w:pPr>
    </w:p>
    <w:p w:rsidR="00401A0F" w:rsidRPr="00522903" w:rsidRDefault="00401A0F" w:rsidP="004A2972">
      <w:pPr>
        <w:spacing w:line="480" w:lineRule="auto"/>
        <w:ind w:firstLine="720"/>
        <w:jc w:val="both"/>
        <w:rPr>
          <w:sz w:val="28"/>
          <w:szCs w:val="28"/>
        </w:rPr>
      </w:pPr>
      <w:r w:rsidRPr="00522903">
        <w:rPr>
          <w:sz w:val="28"/>
          <w:szCs w:val="28"/>
        </w:rPr>
        <w:t xml:space="preserve">To establish the second element, the plaintiff must show that </w:t>
      </w:r>
      <w:r w:rsidR="004A2972" w:rsidRPr="00522903">
        <w:rPr>
          <w:sz w:val="28"/>
          <w:szCs w:val="28"/>
        </w:rPr>
        <w:t>[</w:t>
      </w:r>
      <w:r w:rsidR="004A2972" w:rsidRPr="00522903">
        <w:rPr>
          <w:i/>
          <w:sz w:val="28"/>
          <w:szCs w:val="28"/>
        </w:rPr>
        <w:t>he/she</w:t>
      </w:r>
      <w:r w:rsidR="004A2972" w:rsidRPr="00522903">
        <w:rPr>
          <w:sz w:val="28"/>
          <w:szCs w:val="28"/>
        </w:rPr>
        <w:t>]</w:t>
      </w:r>
      <w:r w:rsidRPr="00522903">
        <w:rPr>
          <w:sz w:val="28"/>
          <w:szCs w:val="28"/>
        </w:rPr>
        <w:t xml:space="preserve"> was subjected to </w:t>
      </w:r>
      <w:r w:rsidR="000B0457" w:rsidRPr="00522903">
        <w:rPr>
          <w:sz w:val="28"/>
          <w:szCs w:val="28"/>
        </w:rPr>
        <w:t>retaliatory</w:t>
      </w:r>
      <w:r w:rsidR="00FB02EF" w:rsidRPr="00522903">
        <w:rPr>
          <w:sz w:val="28"/>
          <w:szCs w:val="28"/>
        </w:rPr>
        <w:t xml:space="preserve"> action </w:t>
      </w:r>
      <w:r w:rsidRPr="00522903">
        <w:rPr>
          <w:sz w:val="28"/>
          <w:szCs w:val="28"/>
        </w:rPr>
        <w:t xml:space="preserve">by </w:t>
      </w:r>
      <w:r w:rsidR="004A2972" w:rsidRPr="00522903">
        <w:rPr>
          <w:sz w:val="28"/>
          <w:szCs w:val="28"/>
        </w:rPr>
        <w:t>[</w:t>
      </w:r>
      <w:r w:rsidR="004A2972" w:rsidRPr="00522903">
        <w:rPr>
          <w:i/>
          <w:sz w:val="28"/>
          <w:szCs w:val="28"/>
        </w:rPr>
        <w:t>his/her</w:t>
      </w:r>
      <w:r w:rsidR="004A2972" w:rsidRPr="00522903">
        <w:rPr>
          <w:sz w:val="28"/>
          <w:szCs w:val="28"/>
        </w:rPr>
        <w:t>]</w:t>
      </w:r>
      <w:r w:rsidRPr="00522903">
        <w:rPr>
          <w:sz w:val="28"/>
          <w:szCs w:val="28"/>
        </w:rPr>
        <w:t xml:space="preserve"> employer. </w:t>
      </w:r>
      <w:r w:rsidR="00522903">
        <w:rPr>
          <w:sz w:val="28"/>
          <w:szCs w:val="28"/>
        </w:rPr>
        <w:t xml:space="preserve"> </w:t>
      </w:r>
      <w:r w:rsidR="000B0457" w:rsidRPr="00522903">
        <w:rPr>
          <w:sz w:val="28"/>
          <w:szCs w:val="28"/>
        </w:rPr>
        <w:t>Retaliatory</w:t>
      </w:r>
      <w:r w:rsidR="00D24731" w:rsidRPr="00522903">
        <w:rPr>
          <w:sz w:val="28"/>
          <w:szCs w:val="28"/>
        </w:rPr>
        <w:t xml:space="preserve"> action</w:t>
      </w:r>
      <w:r w:rsidRPr="00522903">
        <w:rPr>
          <w:sz w:val="28"/>
          <w:szCs w:val="28"/>
        </w:rPr>
        <w:t xml:space="preserve"> </w:t>
      </w:r>
      <w:r w:rsidR="00D24731" w:rsidRPr="00522903">
        <w:rPr>
          <w:sz w:val="28"/>
          <w:szCs w:val="28"/>
        </w:rPr>
        <w:t>can be a</w:t>
      </w:r>
      <w:r w:rsidR="00D24731" w:rsidRPr="00522903">
        <w:rPr>
          <w:color w:val="000000"/>
          <w:sz w:val="28"/>
          <w:szCs w:val="28"/>
        </w:rPr>
        <w:t xml:space="preserve"> discharge, suspension, demotion or any other adverse employment action taken against an employee in the terms and conditions of employment.</w:t>
      </w:r>
      <w:r w:rsidR="00D24731" w:rsidRPr="00522903">
        <w:rPr>
          <w:rStyle w:val="FootnoteReference"/>
          <w:color w:val="000000"/>
          <w:sz w:val="28"/>
          <w:szCs w:val="28"/>
        </w:rPr>
        <w:footnoteReference w:id="4"/>
      </w:r>
      <w:r w:rsidR="00D24731" w:rsidRPr="00522903">
        <w:rPr>
          <w:color w:val="000000"/>
          <w:sz w:val="28"/>
          <w:szCs w:val="28"/>
        </w:rPr>
        <w:t xml:space="preserve"> </w:t>
      </w:r>
      <w:r w:rsidR="00D24731" w:rsidRPr="00522903">
        <w:rPr>
          <w:sz w:val="28"/>
          <w:szCs w:val="28"/>
        </w:rPr>
        <w:t xml:space="preserve"> </w:t>
      </w:r>
      <w:r w:rsidR="00D24731" w:rsidRPr="00522903">
        <w:rPr>
          <w:color w:val="000000"/>
          <w:sz w:val="28"/>
          <w:szCs w:val="28"/>
        </w:rPr>
        <w:t xml:space="preserve">An adverse </w:t>
      </w:r>
      <w:r w:rsidR="00D24731" w:rsidRPr="00522903">
        <w:rPr>
          <w:color w:val="000000"/>
          <w:sz w:val="28"/>
          <w:szCs w:val="28"/>
        </w:rPr>
        <w:lastRenderedPageBreak/>
        <w:t xml:space="preserve">employment action does not need to be a single incident.  Rather, </w:t>
      </w:r>
      <w:r w:rsidR="00FF61D6">
        <w:rPr>
          <w:color w:val="000000"/>
          <w:sz w:val="28"/>
          <w:szCs w:val="28"/>
        </w:rPr>
        <w:t>it</w:t>
      </w:r>
      <w:r w:rsidR="00F4344A">
        <w:rPr>
          <w:color w:val="000000"/>
          <w:sz w:val="28"/>
          <w:szCs w:val="28"/>
        </w:rPr>
        <w:t xml:space="preserve"> </w:t>
      </w:r>
      <w:r w:rsidR="00D24731" w:rsidRPr="00522903">
        <w:rPr>
          <w:color w:val="000000"/>
          <w:sz w:val="28"/>
          <w:szCs w:val="28"/>
        </w:rPr>
        <w:t>can include many separate but relatively minor instances of adverse action against an employee.</w:t>
      </w:r>
      <w:bookmarkStart w:id="0" w:name="_DV_M17"/>
      <w:bookmarkEnd w:id="0"/>
      <w:r w:rsidR="00D24731" w:rsidRPr="00522903">
        <w:rPr>
          <w:rStyle w:val="FootnoteReference"/>
          <w:color w:val="000000"/>
          <w:sz w:val="28"/>
          <w:szCs w:val="28"/>
        </w:rPr>
        <w:footnoteReference w:id="5"/>
      </w:r>
      <w:bookmarkStart w:id="1" w:name="_GoBack"/>
      <w:bookmarkEnd w:id="1"/>
    </w:p>
    <w:p w:rsidR="006E7C53" w:rsidRPr="00522903" w:rsidRDefault="00401A0F" w:rsidP="004A2972">
      <w:pPr>
        <w:spacing w:line="480" w:lineRule="auto"/>
        <w:ind w:firstLine="720"/>
        <w:jc w:val="both"/>
        <w:rPr>
          <w:sz w:val="28"/>
          <w:szCs w:val="28"/>
        </w:rPr>
      </w:pPr>
      <w:r w:rsidRPr="00522903">
        <w:rPr>
          <w:sz w:val="28"/>
          <w:szCs w:val="28"/>
        </w:rPr>
        <w:t xml:space="preserve">The third and final element is whether the plaintiff can prove the existence of a causal connection between </w:t>
      </w:r>
      <w:r w:rsidR="004A2972" w:rsidRPr="00522903">
        <w:rPr>
          <w:sz w:val="28"/>
          <w:szCs w:val="28"/>
        </w:rPr>
        <w:t>[</w:t>
      </w:r>
      <w:r w:rsidR="004A2972" w:rsidRPr="00522903">
        <w:rPr>
          <w:i/>
          <w:sz w:val="28"/>
          <w:szCs w:val="28"/>
        </w:rPr>
        <w:t>his/her</w:t>
      </w:r>
      <w:r w:rsidR="004A2972" w:rsidRPr="00522903">
        <w:rPr>
          <w:sz w:val="28"/>
          <w:szCs w:val="28"/>
        </w:rPr>
        <w:t>]</w:t>
      </w:r>
      <w:r w:rsidR="00D24731" w:rsidRPr="00522903">
        <w:rPr>
          <w:sz w:val="28"/>
          <w:szCs w:val="28"/>
        </w:rPr>
        <w:t xml:space="preserve"> claim or attempt to claim </w:t>
      </w:r>
      <w:r w:rsidRPr="00522903">
        <w:rPr>
          <w:sz w:val="28"/>
          <w:szCs w:val="28"/>
        </w:rPr>
        <w:t xml:space="preserve">worker’s compensation </w:t>
      </w:r>
      <w:r w:rsidR="00D24731" w:rsidRPr="00522903">
        <w:rPr>
          <w:sz w:val="28"/>
          <w:szCs w:val="28"/>
        </w:rPr>
        <w:t xml:space="preserve">benefits </w:t>
      </w:r>
      <w:r w:rsidRPr="00522903">
        <w:rPr>
          <w:sz w:val="28"/>
          <w:szCs w:val="28"/>
        </w:rPr>
        <w:t xml:space="preserve">and the alleged retaliation by </w:t>
      </w:r>
      <w:r w:rsidR="004A2972" w:rsidRPr="00522903">
        <w:rPr>
          <w:sz w:val="28"/>
          <w:szCs w:val="28"/>
        </w:rPr>
        <w:t>[</w:t>
      </w:r>
      <w:r w:rsidR="004A2972" w:rsidRPr="00522903">
        <w:rPr>
          <w:i/>
          <w:sz w:val="28"/>
          <w:szCs w:val="28"/>
        </w:rPr>
        <w:t>his/her</w:t>
      </w:r>
      <w:r w:rsidR="004A2972" w:rsidRPr="00522903">
        <w:rPr>
          <w:sz w:val="28"/>
          <w:szCs w:val="28"/>
        </w:rPr>
        <w:t>]</w:t>
      </w:r>
      <w:r w:rsidRPr="00522903">
        <w:rPr>
          <w:sz w:val="28"/>
          <w:szCs w:val="28"/>
        </w:rPr>
        <w:t xml:space="preserve"> employer.    It is the plaintiff’s burden to prove that it is more likely than not that the defendant retaliated against the plaintiff because the plaintiff </w:t>
      </w:r>
      <w:r w:rsidRPr="00522903">
        <w:rPr>
          <w:iCs/>
          <w:sz w:val="28"/>
          <w:szCs w:val="28"/>
        </w:rPr>
        <w:t>claim</w:t>
      </w:r>
      <w:r w:rsidR="00325A17" w:rsidRPr="00522903">
        <w:rPr>
          <w:iCs/>
          <w:sz w:val="28"/>
          <w:szCs w:val="28"/>
        </w:rPr>
        <w:t>ed or attempted to claim</w:t>
      </w:r>
      <w:r w:rsidRPr="00522903">
        <w:rPr>
          <w:iCs/>
          <w:sz w:val="28"/>
          <w:szCs w:val="28"/>
        </w:rPr>
        <w:t xml:space="preserve"> worker’s compensation benefits.</w:t>
      </w:r>
      <w:r w:rsidRPr="00522903">
        <w:rPr>
          <w:i/>
          <w:iCs/>
          <w:sz w:val="28"/>
          <w:szCs w:val="28"/>
        </w:rPr>
        <w:t xml:space="preserve">  </w:t>
      </w:r>
      <w:r w:rsidRPr="00522903">
        <w:rPr>
          <w:iCs/>
          <w:sz w:val="28"/>
          <w:szCs w:val="28"/>
        </w:rPr>
        <w:t xml:space="preserve">That is the </w:t>
      </w:r>
      <w:r w:rsidRPr="00522903">
        <w:rPr>
          <w:sz w:val="28"/>
          <w:szCs w:val="28"/>
        </w:rPr>
        <w:t xml:space="preserve">ultimate issue you must decide: did the defendant </w:t>
      </w:r>
      <w:r w:rsidR="00325A17" w:rsidRPr="00522903">
        <w:rPr>
          <w:iCs/>
          <w:sz w:val="28"/>
          <w:szCs w:val="28"/>
        </w:rPr>
        <w:t xml:space="preserve">retaliate against </w:t>
      </w:r>
      <w:r w:rsidRPr="00522903">
        <w:rPr>
          <w:iCs/>
          <w:sz w:val="28"/>
          <w:szCs w:val="28"/>
        </w:rPr>
        <w:t>the plaintiff</w:t>
      </w:r>
      <w:r w:rsidRPr="00522903">
        <w:rPr>
          <w:b/>
          <w:bCs/>
          <w:sz w:val="28"/>
          <w:szCs w:val="28"/>
        </w:rPr>
        <w:t xml:space="preserve"> </w:t>
      </w:r>
      <w:r w:rsidRPr="00522903">
        <w:rPr>
          <w:sz w:val="28"/>
          <w:szCs w:val="28"/>
        </w:rPr>
        <w:t xml:space="preserve">because of the plaintiff’s </w:t>
      </w:r>
      <w:r w:rsidRPr="00522903">
        <w:rPr>
          <w:iCs/>
          <w:sz w:val="28"/>
          <w:szCs w:val="28"/>
        </w:rPr>
        <w:t>worker’s compensation claim</w:t>
      </w:r>
      <w:r w:rsidRPr="00522903">
        <w:rPr>
          <w:sz w:val="28"/>
          <w:szCs w:val="28"/>
        </w:rPr>
        <w:t>.  The plaintiff may prove this directly, by proving that a retaliatory reason more likely than not motivated the defendant’s action, or indirectly, by proving that the defendant’s stated reason for its action is not the real reason for its action.</w:t>
      </w:r>
      <w:bookmarkStart w:id="2" w:name="_DV_M22"/>
      <w:bookmarkEnd w:id="2"/>
      <w:r w:rsidR="00D24731" w:rsidRPr="00522903">
        <w:rPr>
          <w:rStyle w:val="FootnoteReference"/>
          <w:sz w:val="28"/>
          <w:szCs w:val="28"/>
        </w:rPr>
        <w:footnoteReference w:id="6"/>
      </w:r>
      <w:r w:rsidR="00D24731" w:rsidRPr="00522903">
        <w:rPr>
          <w:sz w:val="28"/>
          <w:szCs w:val="28"/>
        </w:rPr>
        <w:tab/>
      </w:r>
    </w:p>
    <w:p w:rsidR="00D24731" w:rsidRPr="00522903" w:rsidRDefault="00D24731" w:rsidP="004A2972">
      <w:pPr>
        <w:spacing w:line="480" w:lineRule="auto"/>
        <w:ind w:firstLine="720"/>
        <w:jc w:val="both"/>
        <w:rPr>
          <w:sz w:val="28"/>
          <w:szCs w:val="28"/>
        </w:rPr>
      </w:pPr>
      <w:r w:rsidRPr="00522903">
        <w:rPr>
          <w:sz w:val="28"/>
          <w:szCs w:val="28"/>
        </w:rPr>
        <w:t xml:space="preserve">You may find that defendant had more than one reason or motivation for its actions.  For example, you may find that defendant was motivated both by a retaliatory reason and by other, non-retaliatory factors, such as plaintiff’s job </w:t>
      </w:r>
      <w:r w:rsidRPr="00522903">
        <w:rPr>
          <w:sz w:val="28"/>
          <w:szCs w:val="28"/>
        </w:rPr>
        <w:lastRenderedPageBreak/>
        <w:t xml:space="preserve">performance.  To prevail, plaintiff is not required to prove that retaliation was the only reason or motivation for defendant’s actions.  Rather, plaintiff must only prove that </w:t>
      </w:r>
      <w:r w:rsidR="00E25262" w:rsidRPr="00522903">
        <w:rPr>
          <w:sz w:val="28"/>
          <w:szCs w:val="28"/>
        </w:rPr>
        <w:t>plaintiff’s claim or attempt to claim worker’s compensation benefits</w:t>
      </w:r>
      <w:r w:rsidRPr="00522903">
        <w:rPr>
          <w:sz w:val="28"/>
          <w:szCs w:val="28"/>
        </w:rPr>
        <w:t xml:space="preserve"> played a role in the decision and that it made an actual difference in defendant’s decision.  If you find that retaliation did make an actual difference in defendant’s decision, then you must enter judgment for the plaintiff.  If, however, you find that defendant would have made the same decision regardless of whether plaintiff </w:t>
      </w:r>
      <w:r w:rsidR="006E7C53" w:rsidRPr="00522903">
        <w:rPr>
          <w:sz w:val="28"/>
          <w:szCs w:val="28"/>
        </w:rPr>
        <w:t xml:space="preserve">claimed or attempted to claim worker’s compensation benefits, </w:t>
      </w:r>
      <w:r w:rsidRPr="00522903">
        <w:rPr>
          <w:sz w:val="28"/>
          <w:szCs w:val="28"/>
        </w:rPr>
        <w:t>then you must enter judgment for the defendant.</w:t>
      </w:r>
      <w:r w:rsidRPr="00522903">
        <w:rPr>
          <w:rStyle w:val="FootnoteReference"/>
          <w:sz w:val="28"/>
          <w:szCs w:val="28"/>
        </w:rPr>
        <w:footnoteReference w:id="7"/>
      </w:r>
    </w:p>
    <w:p w:rsidR="00401A0F" w:rsidRPr="00E9746F" w:rsidRDefault="00401A0F" w:rsidP="004A2972">
      <w:pPr>
        <w:tabs>
          <w:tab w:val="left" w:pos="-720"/>
          <w:tab w:val="left" w:pos="0"/>
          <w:tab w:val="left" w:pos="720"/>
        </w:tabs>
        <w:spacing w:line="480" w:lineRule="auto"/>
        <w:jc w:val="both"/>
        <w:rPr>
          <w:iCs/>
          <w:sz w:val="28"/>
          <w:szCs w:val="28"/>
        </w:rPr>
      </w:pPr>
      <w:r w:rsidRPr="00E9746F">
        <w:rPr>
          <w:iCs/>
          <w:sz w:val="28"/>
          <w:szCs w:val="28"/>
        </w:rPr>
        <w:tab/>
        <w:t>Because direct proof of intentional retaliation is often not available, the plaintiff is allowed to prove retaliation by circumstantial evidence.  In that regard, you are to evaluate whatever indirect evidence of retaliation that you find was presented during the trial.</w:t>
      </w:r>
      <w:r w:rsidR="00E9746F" w:rsidRPr="00E9746F">
        <w:rPr>
          <w:sz w:val="28"/>
          <w:szCs w:val="28"/>
        </w:rPr>
        <w:t xml:space="preserve">  </w:t>
      </w:r>
      <w:r w:rsidR="00E9746F" w:rsidRPr="00E9746F">
        <w:rPr>
          <w:b/>
          <w:sz w:val="28"/>
          <w:szCs w:val="28"/>
        </w:rPr>
        <w:t>[The court may refer to specific types of indirect evidence presented during the trial, such as prior conduct and/or comments of the parties, etc.]</w:t>
      </w:r>
    </w:p>
    <w:p w:rsidR="00401A0F" w:rsidRPr="00522903" w:rsidRDefault="00401A0F" w:rsidP="004A2972">
      <w:pPr>
        <w:spacing w:line="480" w:lineRule="auto"/>
        <w:ind w:firstLine="720"/>
        <w:jc w:val="both"/>
        <w:rPr>
          <w:sz w:val="28"/>
          <w:szCs w:val="28"/>
        </w:rPr>
      </w:pPr>
      <w:r w:rsidRPr="00522903">
        <w:rPr>
          <w:sz w:val="28"/>
          <w:szCs w:val="28"/>
        </w:rPr>
        <w:lastRenderedPageBreak/>
        <w:t xml:space="preserve">One kind of circumstantial evidence can involve the timing of events, </w:t>
      </w:r>
      <w:r w:rsidRPr="00522903">
        <w:rPr>
          <w:i/>
          <w:sz w:val="28"/>
          <w:szCs w:val="28"/>
        </w:rPr>
        <w:t>i.e.</w:t>
      </w:r>
      <w:r w:rsidRPr="00522903">
        <w:rPr>
          <w:sz w:val="28"/>
          <w:szCs w:val="28"/>
        </w:rPr>
        <w:t xml:space="preserve">, whether the defendant’s action followed shortly after the defendant became aware of the plaintiff’s claim </w:t>
      </w:r>
      <w:r w:rsidR="006E7C53" w:rsidRPr="00522903">
        <w:rPr>
          <w:sz w:val="28"/>
          <w:szCs w:val="28"/>
        </w:rPr>
        <w:t xml:space="preserve">or attempt to claim </w:t>
      </w:r>
      <w:r w:rsidRPr="00522903">
        <w:rPr>
          <w:sz w:val="28"/>
          <w:szCs w:val="28"/>
        </w:rPr>
        <w:t>worker’s compensation.   While such timing may be evidence of retaliation, it may also be simply coincidental – that is for you to decide.</w:t>
      </w:r>
    </w:p>
    <w:p w:rsidR="00401A0F" w:rsidRPr="00522903" w:rsidRDefault="00401A0F" w:rsidP="004A2972">
      <w:pPr>
        <w:spacing w:line="480" w:lineRule="auto"/>
        <w:jc w:val="both"/>
        <w:rPr>
          <w:sz w:val="28"/>
          <w:szCs w:val="28"/>
        </w:rPr>
      </w:pPr>
      <w:r w:rsidRPr="00522903">
        <w:rPr>
          <w:sz w:val="28"/>
          <w:szCs w:val="28"/>
        </w:rPr>
        <w:tab/>
        <w:t xml:space="preserve">Another kind of circumstantial evidence might involve evidence that the defendant </w:t>
      </w:r>
      <w:r w:rsidR="006E7C53" w:rsidRPr="00522903">
        <w:rPr>
          <w:sz w:val="28"/>
          <w:szCs w:val="28"/>
        </w:rPr>
        <w:t>changed for the worse</w:t>
      </w:r>
      <w:r w:rsidRPr="00522903">
        <w:rPr>
          <w:sz w:val="28"/>
          <w:szCs w:val="28"/>
        </w:rPr>
        <w:t xml:space="preserve"> toward the plaintiff after the defendant became aware of the plaintiff’s worker’s compensation claim.  But again, this may be evidence of retaliation, or it may have no relationship to retaliation at all, but </w:t>
      </w:r>
      <w:r w:rsidR="006E7C53" w:rsidRPr="00522903">
        <w:rPr>
          <w:sz w:val="28"/>
          <w:szCs w:val="28"/>
        </w:rPr>
        <w:t xml:space="preserve">that </w:t>
      </w:r>
      <w:r w:rsidRPr="00522903">
        <w:rPr>
          <w:sz w:val="28"/>
          <w:szCs w:val="28"/>
        </w:rPr>
        <w:t>is for you to decide.</w:t>
      </w:r>
    </w:p>
    <w:p w:rsidR="00401A0F" w:rsidRPr="00522903" w:rsidRDefault="00401A0F" w:rsidP="004A2972">
      <w:pPr>
        <w:spacing w:line="480" w:lineRule="auto"/>
        <w:ind w:firstLine="720"/>
        <w:jc w:val="both"/>
        <w:rPr>
          <w:sz w:val="28"/>
          <w:szCs w:val="28"/>
        </w:rPr>
      </w:pPr>
      <w:r w:rsidRPr="00522903">
        <w:rPr>
          <w:sz w:val="28"/>
          <w:szCs w:val="28"/>
        </w:rPr>
        <w:t xml:space="preserve">In addition, you should consider whether the explanation given by the defendant for his action was the real reason for </w:t>
      </w:r>
      <w:r w:rsidR="004A2972" w:rsidRPr="00522903">
        <w:rPr>
          <w:sz w:val="28"/>
          <w:szCs w:val="28"/>
        </w:rPr>
        <w:t>[</w:t>
      </w:r>
      <w:r w:rsidR="004A2972" w:rsidRPr="00522903">
        <w:rPr>
          <w:i/>
          <w:sz w:val="28"/>
          <w:szCs w:val="28"/>
        </w:rPr>
        <w:t>his/her</w:t>
      </w:r>
      <w:r w:rsidR="004A2972" w:rsidRPr="00522903">
        <w:rPr>
          <w:sz w:val="28"/>
          <w:szCs w:val="28"/>
        </w:rPr>
        <w:t>]</w:t>
      </w:r>
      <w:r w:rsidRPr="00522903">
        <w:rPr>
          <w:sz w:val="28"/>
          <w:szCs w:val="28"/>
        </w:rPr>
        <w:t xml:space="preserve"> actions. If you don’t believe the reason given by the defendant is the real reason the defendant </w:t>
      </w:r>
      <w:r w:rsidR="00422894" w:rsidRPr="00522903">
        <w:rPr>
          <w:iCs/>
          <w:sz w:val="28"/>
          <w:szCs w:val="28"/>
        </w:rPr>
        <w:t>[</w:t>
      </w:r>
      <w:r w:rsidR="00422894" w:rsidRPr="00522903">
        <w:rPr>
          <w:i/>
          <w:iCs/>
          <w:sz w:val="28"/>
          <w:szCs w:val="28"/>
        </w:rPr>
        <w:t>insert retaliatory action</w:t>
      </w:r>
      <w:r w:rsidR="00422894" w:rsidRPr="00522903">
        <w:rPr>
          <w:iCs/>
          <w:sz w:val="28"/>
          <w:szCs w:val="28"/>
        </w:rPr>
        <w:t xml:space="preserve">] </w:t>
      </w:r>
      <w:r w:rsidRPr="00522903">
        <w:rPr>
          <w:iCs/>
          <w:sz w:val="28"/>
          <w:szCs w:val="28"/>
        </w:rPr>
        <w:t>the plaintiff</w:t>
      </w:r>
      <w:r w:rsidRPr="00522903">
        <w:rPr>
          <w:sz w:val="28"/>
          <w:szCs w:val="28"/>
        </w:rPr>
        <w:t xml:space="preserve"> you may, but are not required to, find that the plaintiff has proven </w:t>
      </w:r>
      <w:r w:rsidR="00F4344A" w:rsidRPr="00522903">
        <w:rPr>
          <w:sz w:val="28"/>
          <w:szCs w:val="28"/>
        </w:rPr>
        <w:t>[</w:t>
      </w:r>
      <w:r w:rsidR="00F4344A" w:rsidRPr="00522903">
        <w:rPr>
          <w:i/>
          <w:sz w:val="28"/>
          <w:szCs w:val="28"/>
        </w:rPr>
        <w:t>his/her</w:t>
      </w:r>
      <w:r w:rsidR="00F4344A" w:rsidRPr="00522903">
        <w:rPr>
          <w:sz w:val="28"/>
          <w:szCs w:val="28"/>
        </w:rPr>
        <w:t xml:space="preserve">] </w:t>
      </w:r>
      <w:r w:rsidRPr="00522903">
        <w:rPr>
          <w:sz w:val="28"/>
          <w:szCs w:val="28"/>
        </w:rPr>
        <w:t xml:space="preserve">case of retaliation.  You are permitted to do so because, if you find the defendant has not told the truth about why </w:t>
      </w:r>
      <w:r w:rsidR="00F4344A">
        <w:rPr>
          <w:sz w:val="28"/>
          <w:szCs w:val="28"/>
        </w:rPr>
        <w:t>[</w:t>
      </w:r>
      <w:r w:rsidR="00F4344A" w:rsidRPr="00F4344A">
        <w:rPr>
          <w:i/>
          <w:sz w:val="28"/>
          <w:szCs w:val="28"/>
        </w:rPr>
        <w:t>he/she/it</w:t>
      </w:r>
      <w:r w:rsidR="00F4344A">
        <w:rPr>
          <w:sz w:val="28"/>
          <w:szCs w:val="28"/>
        </w:rPr>
        <w:t xml:space="preserve">] </w:t>
      </w:r>
      <w:r w:rsidRPr="00522903">
        <w:rPr>
          <w:sz w:val="28"/>
          <w:szCs w:val="28"/>
        </w:rPr>
        <w:t xml:space="preserve">acted, you may conclude that </w:t>
      </w:r>
      <w:r w:rsidR="00F4344A">
        <w:rPr>
          <w:sz w:val="28"/>
          <w:szCs w:val="28"/>
        </w:rPr>
        <w:t>[</w:t>
      </w:r>
      <w:r w:rsidR="00F4344A" w:rsidRPr="00F4344A">
        <w:rPr>
          <w:i/>
          <w:sz w:val="28"/>
          <w:szCs w:val="28"/>
        </w:rPr>
        <w:t>he/she/it</w:t>
      </w:r>
      <w:r w:rsidR="00F4344A">
        <w:rPr>
          <w:sz w:val="28"/>
          <w:szCs w:val="28"/>
        </w:rPr>
        <w:t xml:space="preserve">] </w:t>
      </w:r>
      <w:r w:rsidRPr="00522903">
        <w:rPr>
          <w:sz w:val="28"/>
          <w:szCs w:val="28"/>
        </w:rPr>
        <w:t xml:space="preserve">is hiding the retaliation.  However, while you are permitted to find retaliation based upon your disbelief of the defendant’s stated reasons, you are not required to do so.  This is because you may conclude that the defendant’s stated </w:t>
      </w:r>
      <w:r w:rsidRPr="00522903">
        <w:rPr>
          <w:sz w:val="28"/>
          <w:szCs w:val="28"/>
        </w:rPr>
        <w:lastRenderedPageBreak/>
        <w:t>reason is not the real reason, but that the real reason is something other than illegal retaliation.</w:t>
      </w:r>
    </w:p>
    <w:p w:rsidR="00401A0F" w:rsidRPr="00522903" w:rsidRDefault="00401A0F" w:rsidP="004A2972">
      <w:pPr>
        <w:spacing w:line="480" w:lineRule="auto"/>
        <w:ind w:firstLine="720"/>
        <w:jc w:val="both"/>
        <w:rPr>
          <w:i/>
          <w:iCs/>
          <w:sz w:val="28"/>
          <w:szCs w:val="28"/>
        </w:rPr>
      </w:pPr>
      <w:r w:rsidRPr="00522903">
        <w:rPr>
          <w:sz w:val="28"/>
          <w:szCs w:val="28"/>
        </w:rPr>
        <w:t>The plaintiff at all times bears the ultimate burden of proving to you that it is more likely than not that the defendant engaged in intentional retaliation.  To decide whether the plaintiff has proven intentional retaliation, you should consider all of the evidence presented by the parties, using the guidelines I gave in the beginning of my instructions regarding evaluating evidence generally, such as weighing the credibility of witnesses.</w:t>
      </w:r>
      <w:r w:rsidR="00E9746F" w:rsidRPr="00E9746F">
        <w:rPr>
          <w:iCs/>
        </w:rPr>
        <w:t xml:space="preserve"> </w:t>
      </w:r>
      <w:r w:rsidR="00E9746F" w:rsidRPr="00E9746F">
        <w:rPr>
          <w:b/>
          <w:iCs/>
          <w:sz w:val="28"/>
          <w:szCs w:val="28"/>
        </w:rPr>
        <w:t>[The court should refer to any other general instructions where appropriate.]</w:t>
      </w:r>
      <w:r w:rsidRPr="00E9746F">
        <w:rPr>
          <w:sz w:val="28"/>
          <w:szCs w:val="28"/>
        </w:rPr>
        <w:t xml:space="preserve">  Keep in m</w:t>
      </w:r>
      <w:r w:rsidRPr="00522903">
        <w:rPr>
          <w:sz w:val="28"/>
          <w:szCs w:val="28"/>
        </w:rPr>
        <w:t xml:space="preserve">ind that in reaching your determination of whether the defendant engaged in intentional retaliation, you are instructed that the defendant’s actions and business practices need not be fair, wise, reasonable, moral or even right, so long as the plaintiff’s </w:t>
      </w:r>
      <w:r w:rsidRPr="00522903">
        <w:rPr>
          <w:iCs/>
          <w:sz w:val="28"/>
          <w:szCs w:val="28"/>
        </w:rPr>
        <w:t>worker’s compensation claim</w:t>
      </w:r>
      <w:r w:rsidRPr="00522903">
        <w:rPr>
          <w:sz w:val="28"/>
          <w:szCs w:val="28"/>
        </w:rPr>
        <w:t xml:space="preserve"> did not cause the defendant’s decision to </w:t>
      </w:r>
      <w:r w:rsidR="00422894" w:rsidRPr="00522903">
        <w:rPr>
          <w:iCs/>
          <w:sz w:val="28"/>
          <w:szCs w:val="28"/>
        </w:rPr>
        <w:t>[</w:t>
      </w:r>
      <w:r w:rsidR="00422894" w:rsidRPr="00522903">
        <w:rPr>
          <w:i/>
          <w:iCs/>
          <w:sz w:val="28"/>
          <w:szCs w:val="28"/>
        </w:rPr>
        <w:t>insert retaliatory action</w:t>
      </w:r>
      <w:r w:rsidR="00422894" w:rsidRPr="00522903">
        <w:rPr>
          <w:iCs/>
          <w:sz w:val="28"/>
          <w:szCs w:val="28"/>
        </w:rPr>
        <w:t xml:space="preserve">] </w:t>
      </w:r>
      <w:r w:rsidRPr="00522903">
        <w:rPr>
          <w:iCs/>
          <w:sz w:val="28"/>
          <w:szCs w:val="28"/>
        </w:rPr>
        <w:t>the plaintiff.</w:t>
      </w:r>
    </w:p>
    <w:p w:rsidR="005701B5" w:rsidRPr="00522903" w:rsidRDefault="00401A0F" w:rsidP="009F2AB3">
      <w:pPr>
        <w:spacing w:line="480" w:lineRule="auto"/>
        <w:jc w:val="both"/>
        <w:rPr>
          <w:sz w:val="28"/>
          <w:szCs w:val="28"/>
        </w:rPr>
      </w:pPr>
      <w:r w:rsidRPr="00522903">
        <w:rPr>
          <w:sz w:val="28"/>
          <w:szCs w:val="28"/>
        </w:rPr>
        <w:tab/>
        <w:t xml:space="preserve">I remind you that the ultimate issue you must decide is whether the defendant engaged in illegal retaliation against the plaintiff by </w:t>
      </w:r>
      <w:r w:rsidR="00422894" w:rsidRPr="00522903">
        <w:rPr>
          <w:iCs/>
          <w:sz w:val="28"/>
          <w:szCs w:val="28"/>
        </w:rPr>
        <w:t>[</w:t>
      </w:r>
      <w:r w:rsidR="00422894" w:rsidRPr="00522903">
        <w:rPr>
          <w:i/>
          <w:iCs/>
          <w:sz w:val="28"/>
          <w:szCs w:val="28"/>
        </w:rPr>
        <w:t>insert retaliatory action</w:t>
      </w:r>
      <w:r w:rsidR="00422894" w:rsidRPr="00522903">
        <w:rPr>
          <w:iCs/>
          <w:sz w:val="28"/>
          <w:szCs w:val="28"/>
        </w:rPr>
        <w:t xml:space="preserve">] </w:t>
      </w:r>
      <w:r w:rsidRPr="00522903">
        <w:rPr>
          <w:iCs/>
          <w:sz w:val="28"/>
          <w:szCs w:val="28"/>
        </w:rPr>
        <w:t>the plaintiff</w:t>
      </w:r>
      <w:r w:rsidRPr="00522903">
        <w:rPr>
          <w:sz w:val="28"/>
          <w:szCs w:val="28"/>
        </w:rPr>
        <w:t>, and that the plaintiff has the burden to prove that retaliation occurred.</w:t>
      </w:r>
    </w:p>
    <w:sectPr w:rsidR="005701B5" w:rsidRPr="00522903" w:rsidSect="0097778F">
      <w:headerReference w:type="default" r:id="rId7"/>
      <w:pgSz w:w="12240" w:h="15840"/>
      <w:pgMar w:top="1008" w:right="1440" w:bottom="1440" w:left="1440" w:header="100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D7" w:rsidRDefault="00D533D7">
      <w:r>
        <w:separator/>
      </w:r>
    </w:p>
  </w:endnote>
  <w:endnote w:type="continuationSeparator" w:id="0">
    <w:p w:rsidR="00D533D7" w:rsidRDefault="00D5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D7" w:rsidRDefault="00D533D7">
      <w:r>
        <w:separator/>
      </w:r>
    </w:p>
  </w:footnote>
  <w:footnote w:type="continuationSeparator" w:id="0">
    <w:p w:rsidR="00D533D7" w:rsidRDefault="00D533D7">
      <w:r>
        <w:continuationSeparator/>
      </w:r>
    </w:p>
  </w:footnote>
  <w:footnote w:id="1">
    <w:p w:rsidR="00387546" w:rsidRPr="00522903" w:rsidRDefault="00387546" w:rsidP="00E9746F">
      <w:pPr>
        <w:pStyle w:val="FootnoteText"/>
        <w:jc w:val="both"/>
        <w:rPr>
          <w:sz w:val="24"/>
          <w:szCs w:val="24"/>
        </w:rPr>
      </w:pPr>
      <w:r w:rsidRPr="00522903">
        <w:rPr>
          <w:rStyle w:val="FootnoteReference"/>
          <w:sz w:val="24"/>
          <w:szCs w:val="24"/>
        </w:rPr>
        <w:footnoteRef/>
      </w:r>
      <w:r w:rsidRPr="00522903">
        <w:rPr>
          <w:sz w:val="24"/>
          <w:szCs w:val="24"/>
        </w:rPr>
        <w:t xml:space="preserve"> </w:t>
      </w:r>
      <w:r w:rsidRPr="00522903">
        <w:rPr>
          <w:i/>
          <w:sz w:val="24"/>
          <w:szCs w:val="24"/>
        </w:rPr>
        <w:t>N.J.S.A.</w:t>
      </w:r>
      <w:r w:rsidRPr="00522903">
        <w:rPr>
          <w:sz w:val="24"/>
          <w:szCs w:val="24"/>
        </w:rPr>
        <w:t xml:space="preserve"> 34:15-39.1</w:t>
      </w:r>
    </w:p>
  </w:footnote>
  <w:footnote w:id="2">
    <w:p w:rsidR="00387546" w:rsidRPr="00522903" w:rsidRDefault="00387546" w:rsidP="00E9746F">
      <w:pPr>
        <w:pStyle w:val="FootnoteText"/>
        <w:jc w:val="both"/>
        <w:rPr>
          <w:sz w:val="24"/>
          <w:szCs w:val="24"/>
        </w:rPr>
      </w:pPr>
      <w:r w:rsidRPr="00522903">
        <w:rPr>
          <w:rStyle w:val="FootnoteReference"/>
          <w:sz w:val="24"/>
          <w:szCs w:val="24"/>
        </w:rPr>
        <w:footnoteRef/>
      </w:r>
      <w:r w:rsidRPr="00522903">
        <w:rPr>
          <w:sz w:val="24"/>
          <w:szCs w:val="24"/>
        </w:rPr>
        <w:t xml:space="preserve"> </w:t>
      </w:r>
      <w:r w:rsidR="00522903">
        <w:rPr>
          <w:sz w:val="24"/>
          <w:szCs w:val="24"/>
        </w:rPr>
        <w:t xml:space="preserve"> </w:t>
      </w:r>
      <w:r w:rsidR="00D31B68" w:rsidRPr="00522903">
        <w:rPr>
          <w:i/>
          <w:sz w:val="24"/>
          <w:szCs w:val="24"/>
        </w:rPr>
        <w:t>Carter v. AFG Industries, Inc.</w:t>
      </w:r>
      <w:r w:rsidR="00D31B68" w:rsidRPr="00522903">
        <w:rPr>
          <w:sz w:val="24"/>
          <w:szCs w:val="24"/>
        </w:rPr>
        <w:t xml:space="preserve">, 344 </w:t>
      </w:r>
      <w:r w:rsidR="00D31B68" w:rsidRPr="00522903">
        <w:rPr>
          <w:i/>
          <w:sz w:val="24"/>
          <w:szCs w:val="24"/>
        </w:rPr>
        <w:t>N.J. Super.</w:t>
      </w:r>
      <w:r w:rsidR="00D31B68" w:rsidRPr="00522903">
        <w:rPr>
          <w:sz w:val="24"/>
          <w:szCs w:val="24"/>
        </w:rPr>
        <w:t xml:space="preserve"> 549, 555 (App. Div. 2001); </w:t>
      </w:r>
      <w:proofErr w:type="spellStart"/>
      <w:r w:rsidRPr="00522903">
        <w:rPr>
          <w:i/>
          <w:sz w:val="24"/>
          <w:szCs w:val="24"/>
        </w:rPr>
        <w:t>Cerrachio</w:t>
      </w:r>
      <w:proofErr w:type="spellEnd"/>
      <w:r w:rsidRPr="00522903">
        <w:rPr>
          <w:i/>
          <w:sz w:val="24"/>
          <w:szCs w:val="24"/>
        </w:rPr>
        <w:t xml:space="preserve"> v. Alden Leeds, Inc.</w:t>
      </w:r>
      <w:r w:rsidRPr="00522903">
        <w:rPr>
          <w:sz w:val="24"/>
          <w:szCs w:val="24"/>
        </w:rPr>
        <w:t xml:space="preserve">, 223 </w:t>
      </w:r>
      <w:r w:rsidRPr="00522903">
        <w:rPr>
          <w:i/>
          <w:sz w:val="24"/>
          <w:szCs w:val="24"/>
        </w:rPr>
        <w:t xml:space="preserve">N.J. Super. </w:t>
      </w:r>
      <w:r w:rsidRPr="00522903">
        <w:rPr>
          <w:sz w:val="24"/>
          <w:szCs w:val="24"/>
        </w:rPr>
        <w:t>435, 442 (App. Div. 1988).</w:t>
      </w:r>
    </w:p>
    <w:p w:rsidR="00522903" w:rsidRPr="00522903" w:rsidRDefault="00522903" w:rsidP="00E9746F">
      <w:pPr>
        <w:pStyle w:val="FootnoteText"/>
        <w:jc w:val="both"/>
        <w:rPr>
          <w:sz w:val="24"/>
          <w:szCs w:val="24"/>
        </w:rPr>
      </w:pPr>
    </w:p>
  </w:footnote>
  <w:footnote w:id="3">
    <w:p w:rsidR="00D31B68" w:rsidRDefault="00D31B68" w:rsidP="00E9746F">
      <w:pPr>
        <w:pStyle w:val="FootnoteText"/>
        <w:jc w:val="both"/>
        <w:rPr>
          <w:sz w:val="24"/>
          <w:szCs w:val="24"/>
          <w:lang w:val="es-ES"/>
        </w:rPr>
      </w:pPr>
      <w:r w:rsidRPr="00522903">
        <w:rPr>
          <w:rStyle w:val="FootnoteReference"/>
          <w:sz w:val="24"/>
          <w:szCs w:val="24"/>
        </w:rPr>
        <w:footnoteRef/>
      </w:r>
      <w:r w:rsidR="00522903">
        <w:rPr>
          <w:sz w:val="24"/>
          <w:szCs w:val="24"/>
          <w:lang w:val="es-ES"/>
        </w:rPr>
        <w:t xml:space="preserve"> </w:t>
      </w:r>
      <w:r w:rsidRPr="00522903">
        <w:rPr>
          <w:sz w:val="24"/>
          <w:szCs w:val="24"/>
          <w:lang w:val="es-ES"/>
        </w:rPr>
        <w:t xml:space="preserve"> </w:t>
      </w:r>
      <w:proofErr w:type="spellStart"/>
      <w:r w:rsidRPr="00522903">
        <w:rPr>
          <w:i/>
          <w:sz w:val="24"/>
          <w:szCs w:val="24"/>
          <w:lang w:val="es-ES"/>
        </w:rPr>
        <w:t>Cerrachio</w:t>
      </w:r>
      <w:proofErr w:type="spellEnd"/>
      <w:r w:rsidRPr="00522903">
        <w:rPr>
          <w:sz w:val="24"/>
          <w:szCs w:val="24"/>
          <w:lang w:val="es-ES"/>
        </w:rPr>
        <w:t xml:space="preserve">, </w:t>
      </w:r>
      <w:r w:rsidRPr="00522903">
        <w:rPr>
          <w:i/>
          <w:sz w:val="24"/>
          <w:szCs w:val="24"/>
          <w:lang w:val="es-ES"/>
        </w:rPr>
        <w:t>supra</w:t>
      </w:r>
      <w:r w:rsidRPr="00522903">
        <w:rPr>
          <w:sz w:val="24"/>
          <w:szCs w:val="24"/>
          <w:lang w:val="es-ES"/>
        </w:rPr>
        <w:t xml:space="preserve">, 223 </w:t>
      </w:r>
      <w:r w:rsidRPr="00522903">
        <w:rPr>
          <w:i/>
          <w:sz w:val="24"/>
          <w:szCs w:val="24"/>
          <w:lang w:val="es-ES"/>
        </w:rPr>
        <w:t xml:space="preserve">N.J. </w:t>
      </w:r>
      <w:proofErr w:type="spellStart"/>
      <w:r w:rsidRPr="00522903">
        <w:rPr>
          <w:i/>
          <w:sz w:val="24"/>
          <w:szCs w:val="24"/>
          <w:lang w:val="es-ES"/>
        </w:rPr>
        <w:t>Super</w:t>
      </w:r>
      <w:proofErr w:type="spellEnd"/>
      <w:r w:rsidRPr="00522903">
        <w:rPr>
          <w:i/>
          <w:sz w:val="24"/>
          <w:szCs w:val="24"/>
          <w:lang w:val="es-ES"/>
        </w:rPr>
        <w:t>.</w:t>
      </w:r>
      <w:r w:rsidRPr="00522903">
        <w:rPr>
          <w:sz w:val="24"/>
          <w:szCs w:val="24"/>
          <w:lang w:val="es-ES"/>
        </w:rPr>
        <w:t xml:space="preserve"> at 443.</w:t>
      </w:r>
    </w:p>
    <w:p w:rsidR="00EE200D" w:rsidRPr="00522903" w:rsidRDefault="00EE200D" w:rsidP="00E9746F">
      <w:pPr>
        <w:pStyle w:val="FootnoteText"/>
        <w:jc w:val="both"/>
        <w:rPr>
          <w:sz w:val="24"/>
          <w:szCs w:val="24"/>
          <w:lang w:val="es-ES"/>
        </w:rPr>
      </w:pPr>
    </w:p>
  </w:footnote>
  <w:footnote w:id="4">
    <w:p w:rsidR="00D24731" w:rsidRDefault="00D24731" w:rsidP="00E9746F">
      <w:pPr>
        <w:pStyle w:val="FootnoteText"/>
        <w:jc w:val="both"/>
        <w:rPr>
          <w:color w:val="000000"/>
          <w:sz w:val="24"/>
          <w:szCs w:val="24"/>
        </w:rPr>
      </w:pPr>
      <w:r w:rsidRPr="00522903">
        <w:rPr>
          <w:rStyle w:val="FootnoteReference"/>
          <w:sz w:val="24"/>
          <w:szCs w:val="24"/>
        </w:rPr>
        <w:footnoteRef/>
      </w:r>
      <w:r w:rsidRPr="00522903">
        <w:rPr>
          <w:sz w:val="24"/>
          <w:szCs w:val="24"/>
        </w:rPr>
        <w:t xml:space="preserve"> </w:t>
      </w:r>
      <w:r w:rsidR="00522903">
        <w:rPr>
          <w:sz w:val="24"/>
          <w:szCs w:val="24"/>
        </w:rPr>
        <w:t xml:space="preserve"> </w:t>
      </w:r>
      <w:r w:rsidRPr="00522903">
        <w:rPr>
          <w:i/>
          <w:iCs/>
          <w:color w:val="000000"/>
          <w:sz w:val="24"/>
          <w:szCs w:val="24"/>
        </w:rPr>
        <w:t>N.J.S.A.</w:t>
      </w:r>
      <w:r w:rsidRPr="00522903">
        <w:rPr>
          <w:color w:val="000000"/>
          <w:sz w:val="24"/>
          <w:szCs w:val="24"/>
        </w:rPr>
        <w:t xml:space="preserve"> 34:19-2(e).</w:t>
      </w:r>
    </w:p>
    <w:p w:rsidR="00522903" w:rsidRPr="00522903" w:rsidRDefault="00522903" w:rsidP="00E9746F">
      <w:pPr>
        <w:pStyle w:val="FootnoteText"/>
        <w:jc w:val="both"/>
        <w:rPr>
          <w:sz w:val="24"/>
          <w:szCs w:val="24"/>
        </w:rPr>
      </w:pPr>
    </w:p>
  </w:footnote>
  <w:footnote w:id="5">
    <w:p w:rsidR="00D24731" w:rsidRPr="00522903" w:rsidRDefault="00D24731" w:rsidP="00E9746F">
      <w:pPr>
        <w:pStyle w:val="FootnoteText"/>
        <w:jc w:val="both"/>
        <w:rPr>
          <w:sz w:val="24"/>
          <w:szCs w:val="24"/>
        </w:rPr>
      </w:pPr>
      <w:r w:rsidRPr="00522903">
        <w:rPr>
          <w:rStyle w:val="FootnoteReference"/>
          <w:sz w:val="24"/>
          <w:szCs w:val="24"/>
        </w:rPr>
        <w:footnoteRef/>
      </w:r>
      <w:r w:rsidR="00522903">
        <w:rPr>
          <w:sz w:val="24"/>
          <w:szCs w:val="24"/>
        </w:rPr>
        <w:t xml:space="preserve"> </w:t>
      </w:r>
      <w:r w:rsidRPr="00522903">
        <w:rPr>
          <w:sz w:val="24"/>
          <w:szCs w:val="24"/>
        </w:rPr>
        <w:t xml:space="preserve"> </w:t>
      </w:r>
      <w:r w:rsidRPr="00522903">
        <w:rPr>
          <w:i/>
          <w:iCs/>
          <w:sz w:val="24"/>
          <w:szCs w:val="24"/>
        </w:rPr>
        <w:t>Green v. Jersey City Bd. of Ed.</w:t>
      </w:r>
      <w:r w:rsidRPr="00522903">
        <w:rPr>
          <w:iCs/>
          <w:sz w:val="24"/>
          <w:szCs w:val="24"/>
        </w:rPr>
        <w:t xml:space="preserve">, 177 </w:t>
      </w:r>
      <w:r w:rsidRPr="00522903">
        <w:rPr>
          <w:i/>
          <w:iCs/>
          <w:sz w:val="24"/>
          <w:szCs w:val="24"/>
        </w:rPr>
        <w:t xml:space="preserve">N.J. </w:t>
      </w:r>
      <w:r w:rsidRPr="00522903">
        <w:rPr>
          <w:iCs/>
          <w:sz w:val="24"/>
          <w:szCs w:val="24"/>
        </w:rPr>
        <w:t>434, 448 (2003);</w:t>
      </w:r>
      <w:r w:rsidRPr="00522903">
        <w:rPr>
          <w:i/>
          <w:iCs/>
          <w:sz w:val="24"/>
          <w:szCs w:val="24"/>
        </w:rPr>
        <w:t xml:space="preserve"> </w:t>
      </w:r>
      <w:proofErr w:type="spellStart"/>
      <w:r w:rsidRPr="00522903">
        <w:rPr>
          <w:i/>
          <w:iCs/>
          <w:sz w:val="24"/>
          <w:szCs w:val="24"/>
        </w:rPr>
        <w:t>Nardello</w:t>
      </w:r>
      <w:proofErr w:type="spellEnd"/>
      <w:r w:rsidRPr="00522903">
        <w:rPr>
          <w:i/>
          <w:iCs/>
          <w:sz w:val="24"/>
          <w:szCs w:val="24"/>
        </w:rPr>
        <w:t xml:space="preserve"> v. Twp. of Voorhees</w:t>
      </w:r>
      <w:r w:rsidRPr="00522903">
        <w:rPr>
          <w:iCs/>
          <w:sz w:val="24"/>
          <w:szCs w:val="24"/>
        </w:rPr>
        <w:t>, 3</w:t>
      </w:r>
      <w:r w:rsidR="00B84170">
        <w:rPr>
          <w:iCs/>
          <w:sz w:val="24"/>
          <w:szCs w:val="24"/>
        </w:rPr>
        <w:t>7</w:t>
      </w:r>
      <w:r w:rsidRPr="00522903">
        <w:rPr>
          <w:iCs/>
          <w:sz w:val="24"/>
          <w:szCs w:val="24"/>
        </w:rPr>
        <w:t xml:space="preserve">7 </w:t>
      </w:r>
      <w:r w:rsidRPr="00522903">
        <w:rPr>
          <w:i/>
          <w:iCs/>
          <w:sz w:val="24"/>
          <w:szCs w:val="24"/>
        </w:rPr>
        <w:t xml:space="preserve">N.J. Super. </w:t>
      </w:r>
      <w:r w:rsidRPr="00522903">
        <w:rPr>
          <w:iCs/>
          <w:sz w:val="24"/>
          <w:szCs w:val="24"/>
        </w:rPr>
        <w:t>428, 434-435 (App. Div. 2005);</w:t>
      </w:r>
      <w:r w:rsidRPr="00522903">
        <w:rPr>
          <w:sz w:val="24"/>
          <w:szCs w:val="24"/>
        </w:rPr>
        <w:t xml:space="preserve"> </w:t>
      </w:r>
      <w:r w:rsidRPr="00522903">
        <w:rPr>
          <w:i/>
          <w:iCs/>
          <w:sz w:val="24"/>
          <w:szCs w:val="24"/>
        </w:rPr>
        <w:t>Beasley v. Passaic County</w:t>
      </w:r>
      <w:r w:rsidRPr="00522903">
        <w:rPr>
          <w:iCs/>
          <w:sz w:val="24"/>
          <w:szCs w:val="24"/>
        </w:rPr>
        <w:t>, 377</w:t>
      </w:r>
      <w:r w:rsidRPr="00522903">
        <w:rPr>
          <w:i/>
          <w:iCs/>
          <w:sz w:val="24"/>
          <w:szCs w:val="24"/>
        </w:rPr>
        <w:t xml:space="preserve"> N.J. Super.</w:t>
      </w:r>
      <w:r w:rsidRPr="00522903">
        <w:rPr>
          <w:iCs/>
          <w:sz w:val="24"/>
          <w:szCs w:val="24"/>
        </w:rPr>
        <w:t xml:space="preserve"> 585, 609 (App. Div. 2005)</w:t>
      </w:r>
      <w:r w:rsidRPr="00522903">
        <w:rPr>
          <w:sz w:val="24"/>
          <w:szCs w:val="24"/>
        </w:rPr>
        <w:t>.</w:t>
      </w:r>
    </w:p>
    <w:p w:rsidR="00D24731" w:rsidRPr="00522903" w:rsidRDefault="00D24731" w:rsidP="00E9746F">
      <w:pPr>
        <w:pStyle w:val="FootnoteText"/>
        <w:jc w:val="both"/>
        <w:rPr>
          <w:sz w:val="24"/>
          <w:szCs w:val="24"/>
        </w:rPr>
      </w:pPr>
    </w:p>
  </w:footnote>
  <w:footnote w:id="6">
    <w:p w:rsidR="00D24731" w:rsidRDefault="00D24731" w:rsidP="00E9746F">
      <w:pPr>
        <w:pStyle w:val="FootnoteText"/>
        <w:jc w:val="both"/>
        <w:rPr>
          <w:sz w:val="24"/>
          <w:szCs w:val="24"/>
        </w:rPr>
      </w:pPr>
      <w:r w:rsidRPr="00522903">
        <w:rPr>
          <w:rStyle w:val="FootnoteReference"/>
          <w:sz w:val="24"/>
          <w:szCs w:val="24"/>
        </w:rPr>
        <w:footnoteRef/>
      </w:r>
      <w:r w:rsidR="00522903">
        <w:rPr>
          <w:sz w:val="24"/>
          <w:szCs w:val="24"/>
        </w:rPr>
        <w:t xml:space="preserve"> </w:t>
      </w:r>
      <w:r w:rsidRPr="00522903">
        <w:rPr>
          <w:sz w:val="24"/>
          <w:szCs w:val="24"/>
        </w:rPr>
        <w:t xml:space="preserve"> </w:t>
      </w:r>
      <w:r w:rsidRPr="00522903">
        <w:rPr>
          <w:i/>
          <w:iCs/>
          <w:sz w:val="24"/>
          <w:szCs w:val="24"/>
        </w:rPr>
        <w:t>Estate of Roach v. TRW, Inc.</w:t>
      </w:r>
      <w:r w:rsidRPr="00522903">
        <w:rPr>
          <w:sz w:val="24"/>
          <w:szCs w:val="24"/>
        </w:rPr>
        <w:t xml:space="preserve">, 164 </w:t>
      </w:r>
      <w:r w:rsidRPr="00522903">
        <w:rPr>
          <w:i/>
          <w:iCs/>
          <w:sz w:val="24"/>
          <w:szCs w:val="24"/>
        </w:rPr>
        <w:t>N.J.</w:t>
      </w:r>
      <w:r w:rsidRPr="00522903">
        <w:rPr>
          <w:sz w:val="24"/>
          <w:szCs w:val="24"/>
        </w:rPr>
        <w:t xml:space="preserve"> 598, 612 (2000) (holding that in “[e]</w:t>
      </w:r>
      <w:proofErr w:type="spellStart"/>
      <w:r w:rsidRPr="00522903">
        <w:rPr>
          <w:sz w:val="24"/>
          <w:szCs w:val="24"/>
        </w:rPr>
        <w:t>xamining</w:t>
      </w:r>
      <w:proofErr w:type="spellEnd"/>
      <w:r w:rsidRPr="00522903">
        <w:rPr>
          <w:sz w:val="24"/>
          <w:szCs w:val="24"/>
        </w:rPr>
        <w:t xml:space="preserve"> whether a retaliatory motive existed, jurors may infer a causal connection based on the surrounding circumstances”).</w:t>
      </w:r>
    </w:p>
    <w:p w:rsidR="00522903" w:rsidRPr="00522903" w:rsidRDefault="00522903" w:rsidP="00E9746F">
      <w:pPr>
        <w:pStyle w:val="FootnoteText"/>
        <w:jc w:val="both"/>
        <w:rPr>
          <w:sz w:val="24"/>
          <w:szCs w:val="24"/>
        </w:rPr>
      </w:pPr>
    </w:p>
  </w:footnote>
  <w:footnote w:id="7">
    <w:p w:rsidR="00D24731" w:rsidRPr="00522903" w:rsidRDefault="00D24731" w:rsidP="00E9746F">
      <w:pPr>
        <w:pStyle w:val="FootnoteText"/>
        <w:jc w:val="both"/>
        <w:rPr>
          <w:sz w:val="24"/>
          <w:szCs w:val="24"/>
        </w:rPr>
      </w:pPr>
      <w:r w:rsidRPr="00522903">
        <w:rPr>
          <w:rStyle w:val="FootnoteReference"/>
          <w:sz w:val="24"/>
          <w:szCs w:val="24"/>
        </w:rPr>
        <w:footnoteRef/>
      </w:r>
      <w:r w:rsidRPr="00522903">
        <w:rPr>
          <w:sz w:val="24"/>
          <w:szCs w:val="24"/>
        </w:rPr>
        <w:t xml:space="preserve"> </w:t>
      </w:r>
      <w:r w:rsidR="009F2AB3">
        <w:rPr>
          <w:sz w:val="24"/>
          <w:szCs w:val="24"/>
        </w:rPr>
        <w:t xml:space="preserve"> </w:t>
      </w:r>
      <w:proofErr w:type="spellStart"/>
      <w:r w:rsidRPr="00522903">
        <w:rPr>
          <w:i/>
          <w:sz w:val="24"/>
          <w:szCs w:val="24"/>
        </w:rPr>
        <w:t>Donofry</w:t>
      </w:r>
      <w:proofErr w:type="spellEnd"/>
      <w:r w:rsidRPr="00522903">
        <w:rPr>
          <w:i/>
          <w:sz w:val="24"/>
          <w:szCs w:val="24"/>
        </w:rPr>
        <w:t xml:space="preserve"> v. </w:t>
      </w:r>
      <w:proofErr w:type="spellStart"/>
      <w:r w:rsidRPr="00522903">
        <w:rPr>
          <w:i/>
          <w:sz w:val="24"/>
          <w:szCs w:val="24"/>
        </w:rPr>
        <w:t>Autotote</w:t>
      </w:r>
      <w:proofErr w:type="spellEnd"/>
      <w:r w:rsidRPr="00522903">
        <w:rPr>
          <w:i/>
          <w:sz w:val="24"/>
          <w:szCs w:val="24"/>
        </w:rPr>
        <w:t xml:space="preserve"> Systems, Inc.</w:t>
      </w:r>
      <w:r w:rsidRPr="00522903">
        <w:rPr>
          <w:sz w:val="24"/>
          <w:szCs w:val="24"/>
        </w:rPr>
        <w:t xml:space="preserve"> 350 </w:t>
      </w:r>
      <w:r w:rsidRPr="00522903">
        <w:rPr>
          <w:i/>
          <w:sz w:val="24"/>
          <w:szCs w:val="24"/>
        </w:rPr>
        <w:t>N.J. Super.</w:t>
      </w:r>
      <w:r w:rsidRPr="00522903">
        <w:rPr>
          <w:sz w:val="24"/>
          <w:szCs w:val="24"/>
        </w:rPr>
        <w:t xml:space="preserve"> 276, 296 (App. Div. 2001) (holding that “[p]</w:t>
      </w:r>
      <w:proofErr w:type="spellStart"/>
      <w:r w:rsidRPr="00522903">
        <w:rPr>
          <w:sz w:val="24"/>
          <w:szCs w:val="24"/>
        </w:rPr>
        <w:t>laintiff’s</w:t>
      </w:r>
      <w:proofErr w:type="spellEnd"/>
      <w:r w:rsidRPr="00522903">
        <w:rPr>
          <w:sz w:val="24"/>
          <w:szCs w:val="24"/>
        </w:rPr>
        <w:t xml:space="preserve"> ultimate burden of proof is to prove by a preponderance of the evidence that his protected whistle-blowing activity was a determinative…motivating factor in defendant’s decision to [take adverse employment action against plaintiff</w:t>
      </w:r>
      <w:r w:rsidR="000A75B2">
        <w:rPr>
          <w:sz w:val="24"/>
          <w:szCs w:val="24"/>
        </w:rPr>
        <w:t>] – that it made a difference [</w:t>
      </w:r>
      <w:r w:rsidRPr="00522903">
        <w:rPr>
          <w:sz w:val="24"/>
          <w:szCs w:val="24"/>
        </w:rPr>
        <w:t>plaintiff need not prove that his whistle-blowing activity was the only factor in the decision to take adverse employment 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03" w:rsidRPr="00522903" w:rsidRDefault="00522903" w:rsidP="00522903">
    <w:pPr>
      <w:tabs>
        <w:tab w:val="right" w:pos="9360"/>
      </w:tabs>
      <w:spacing w:line="240" w:lineRule="atLeast"/>
      <w:jc w:val="right"/>
      <w:rPr>
        <w:b/>
        <w:bCs/>
        <w:spacing w:val="-3"/>
        <w:sz w:val="28"/>
        <w:szCs w:val="28"/>
      </w:rPr>
    </w:pPr>
    <w:r w:rsidRPr="00522903">
      <w:rPr>
        <w:b/>
        <w:bCs/>
        <w:spacing w:val="-3"/>
        <w:sz w:val="28"/>
        <w:szCs w:val="28"/>
      </w:rPr>
      <w:t xml:space="preserve">CHARGE 2.22 — Page </w:t>
    </w:r>
    <w:r w:rsidRPr="00522903">
      <w:rPr>
        <w:b/>
        <w:bCs/>
        <w:spacing w:val="-3"/>
        <w:sz w:val="28"/>
        <w:szCs w:val="28"/>
      </w:rPr>
      <w:fldChar w:fldCharType="begin"/>
    </w:r>
    <w:r w:rsidRPr="00522903">
      <w:rPr>
        <w:b/>
        <w:bCs/>
        <w:spacing w:val="-3"/>
        <w:sz w:val="28"/>
        <w:szCs w:val="28"/>
      </w:rPr>
      <w:instrText xml:space="preserve"> PAGE </w:instrText>
    </w:r>
    <w:r w:rsidRPr="00522903">
      <w:rPr>
        <w:b/>
        <w:bCs/>
        <w:spacing w:val="-3"/>
        <w:sz w:val="28"/>
        <w:szCs w:val="28"/>
      </w:rPr>
      <w:fldChar w:fldCharType="separate"/>
    </w:r>
    <w:r w:rsidR="00FF61D6">
      <w:rPr>
        <w:b/>
        <w:bCs/>
        <w:noProof/>
        <w:spacing w:val="-3"/>
        <w:sz w:val="28"/>
        <w:szCs w:val="28"/>
      </w:rPr>
      <w:t>1</w:t>
    </w:r>
    <w:r w:rsidRPr="00522903">
      <w:rPr>
        <w:b/>
        <w:bCs/>
        <w:spacing w:val="-3"/>
        <w:sz w:val="28"/>
        <w:szCs w:val="28"/>
      </w:rPr>
      <w:fldChar w:fldCharType="end"/>
    </w:r>
    <w:r w:rsidRPr="00522903">
      <w:rPr>
        <w:b/>
        <w:bCs/>
        <w:spacing w:val="-3"/>
        <w:sz w:val="28"/>
        <w:szCs w:val="28"/>
      </w:rPr>
      <w:t xml:space="preserve"> of </w:t>
    </w:r>
    <w:r w:rsidRPr="00522903">
      <w:rPr>
        <w:b/>
        <w:bCs/>
        <w:spacing w:val="-3"/>
        <w:sz w:val="28"/>
        <w:szCs w:val="28"/>
      </w:rPr>
      <w:fldChar w:fldCharType="begin"/>
    </w:r>
    <w:r w:rsidRPr="00522903">
      <w:rPr>
        <w:b/>
        <w:bCs/>
        <w:spacing w:val="-3"/>
        <w:sz w:val="28"/>
        <w:szCs w:val="28"/>
      </w:rPr>
      <w:instrText xml:space="preserve"> NUMPAGES </w:instrText>
    </w:r>
    <w:r w:rsidRPr="00522903">
      <w:rPr>
        <w:b/>
        <w:bCs/>
        <w:spacing w:val="-3"/>
        <w:sz w:val="28"/>
        <w:szCs w:val="28"/>
      </w:rPr>
      <w:fldChar w:fldCharType="separate"/>
    </w:r>
    <w:r w:rsidR="00FF61D6">
      <w:rPr>
        <w:b/>
        <w:bCs/>
        <w:noProof/>
        <w:spacing w:val="-3"/>
        <w:sz w:val="28"/>
        <w:szCs w:val="28"/>
      </w:rPr>
      <w:t>6</w:t>
    </w:r>
    <w:r w:rsidRPr="00522903">
      <w:rPr>
        <w:b/>
        <w:bCs/>
        <w:spacing w:val="-3"/>
        <w:sz w:val="28"/>
        <w:szCs w:val="28"/>
      </w:rPr>
      <w:fldChar w:fldCharType="end"/>
    </w:r>
  </w:p>
  <w:p w:rsidR="00522903" w:rsidRPr="00522903" w:rsidRDefault="00522903">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0F"/>
    <w:rsid w:val="000A1DC5"/>
    <w:rsid w:val="000A39AF"/>
    <w:rsid w:val="000A75B2"/>
    <w:rsid w:val="000B0457"/>
    <w:rsid w:val="002B3811"/>
    <w:rsid w:val="002F4049"/>
    <w:rsid w:val="00312695"/>
    <w:rsid w:val="00325A17"/>
    <w:rsid w:val="00387546"/>
    <w:rsid w:val="00401A0F"/>
    <w:rsid w:val="00422894"/>
    <w:rsid w:val="004566DF"/>
    <w:rsid w:val="004A2972"/>
    <w:rsid w:val="004E2A81"/>
    <w:rsid w:val="00522903"/>
    <w:rsid w:val="005701B5"/>
    <w:rsid w:val="00653913"/>
    <w:rsid w:val="006D4344"/>
    <w:rsid w:val="006E7C53"/>
    <w:rsid w:val="00775835"/>
    <w:rsid w:val="00803612"/>
    <w:rsid w:val="008C53D3"/>
    <w:rsid w:val="0097778F"/>
    <w:rsid w:val="00985D80"/>
    <w:rsid w:val="009E5248"/>
    <w:rsid w:val="009F2AB3"/>
    <w:rsid w:val="00B84170"/>
    <w:rsid w:val="00C079B7"/>
    <w:rsid w:val="00C85706"/>
    <w:rsid w:val="00D00D43"/>
    <w:rsid w:val="00D24731"/>
    <w:rsid w:val="00D31B68"/>
    <w:rsid w:val="00D36171"/>
    <w:rsid w:val="00D533D7"/>
    <w:rsid w:val="00DB1965"/>
    <w:rsid w:val="00E1041E"/>
    <w:rsid w:val="00E25262"/>
    <w:rsid w:val="00E41138"/>
    <w:rsid w:val="00E7628B"/>
    <w:rsid w:val="00E77CE7"/>
    <w:rsid w:val="00E81326"/>
    <w:rsid w:val="00E933F9"/>
    <w:rsid w:val="00E9746F"/>
    <w:rsid w:val="00EE200D"/>
    <w:rsid w:val="00EF65CF"/>
    <w:rsid w:val="00F4344A"/>
    <w:rsid w:val="00FB02EF"/>
    <w:rsid w:val="00FF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BA816"/>
  <w15:chartTrackingRefBased/>
  <w15:docId w15:val="{EF45B0B7-36C0-4535-BE3F-A2F5E974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A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w:basedOn w:val="Normal"/>
    <w:link w:val="FootnoteTextChar"/>
    <w:semiHidden/>
    <w:rsid w:val="00401A0F"/>
    <w:rPr>
      <w:sz w:val="20"/>
      <w:szCs w:val="20"/>
    </w:rPr>
  </w:style>
  <w:style w:type="character" w:styleId="FootnoteReference">
    <w:name w:val="footnote reference"/>
    <w:semiHidden/>
    <w:rsid w:val="00401A0F"/>
    <w:rPr>
      <w:vertAlign w:val="superscript"/>
    </w:rPr>
  </w:style>
  <w:style w:type="character" w:customStyle="1" w:styleId="FootnoteTextChar">
    <w:name w:val="Footnote Text Char"/>
    <w:aliases w:val="Car Char"/>
    <w:link w:val="FootnoteText"/>
    <w:semiHidden/>
    <w:rsid w:val="00401A0F"/>
    <w:rPr>
      <w:lang w:val="en-US" w:eastAsia="en-US" w:bidi="ar-SA"/>
    </w:rPr>
  </w:style>
  <w:style w:type="paragraph" w:styleId="BodyTextIndent">
    <w:name w:val="Body Text Indent"/>
    <w:basedOn w:val="Normal"/>
    <w:link w:val="BodyTextIndentChar"/>
    <w:unhideWhenUsed/>
    <w:rsid w:val="00401A0F"/>
    <w:pPr>
      <w:widowControl w:val="0"/>
      <w:tabs>
        <w:tab w:val="left" w:pos="-720"/>
        <w:tab w:val="left" w:pos="0"/>
        <w:tab w:val="left" w:pos="720"/>
      </w:tabs>
      <w:autoSpaceDE w:val="0"/>
      <w:autoSpaceDN w:val="0"/>
      <w:adjustRightInd w:val="0"/>
      <w:spacing w:after="240" w:line="240" w:lineRule="atLeast"/>
      <w:ind w:left="1440" w:hanging="1440"/>
      <w:jc w:val="both"/>
    </w:pPr>
    <w:rPr>
      <w:b/>
      <w:bCs/>
      <w:spacing w:val="-3"/>
      <w:sz w:val="28"/>
      <w:szCs w:val="28"/>
    </w:rPr>
  </w:style>
  <w:style w:type="character" w:customStyle="1" w:styleId="BodyTextIndentChar">
    <w:name w:val="Body Text Indent Char"/>
    <w:link w:val="BodyTextIndent"/>
    <w:rsid w:val="00401A0F"/>
    <w:rPr>
      <w:b/>
      <w:bCs/>
      <w:spacing w:val="-3"/>
      <w:sz w:val="28"/>
      <w:szCs w:val="28"/>
      <w:lang w:val="en-US" w:eastAsia="en-US" w:bidi="ar-SA"/>
    </w:rPr>
  </w:style>
  <w:style w:type="paragraph" w:styleId="BodyTextIndent2">
    <w:name w:val="Body Text Indent 2"/>
    <w:basedOn w:val="Normal"/>
    <w:link w:val="BodyTextIndent2Char"/>
    <w:unhideWhenUsed/>
    <w:rsid w:val="00401A0F"/>
    <w:pPr>
      <w:widowControl w:val="0"/>
      <w:tabs>
        <w:tab w:val="left" w:pos="-720"/>
        <w:tab w:val="left" w:pos="0"/>
        <w:tab w:val="left" w:pos="720"/>
      </w:tabs>
      <w:autoSpaceDE w:val="0"/>
      <w:autoSpaceDN w:val="0"/>
      <w:adjustRightInd w:val="0"/>
      <w:ind w:left="2160" w:hanging="2160"/>
      <w:jc w:val="both"/>
    </w:pPr>
    <w:rPr>
      <w:spacing w:val="-3"/>
      <w:sz w:val="28"/>
      <w:szCs w:val="28"/>
    </w:rPr>
  </w:style>
  <w:style w:type="character" w:customStyle="1" w:styleId="BodyTextIndent2Char">
    <w:name w:val="Body Text Indent 2 Char"/>
    <w:link w:val="BodyTextIndent2"/>
    <w:rsid w:val="00401A0F"/>
    <w:rPr>
      <w:spacing w:val="-3"/>
      <w:sz w:val="28"/>
      <w:szCs w:val="28"/>
      <w:lang w:val="en-US" w:eastAsia="en-US" w:bidi="ar-SA"/>
    </w:rPr>
  </w:style>
  <w:style w:type="paragraph" w:styleId="BalloonText">
    <w:name w:val="Balloon Text"/>
    <w:basedOn w:val="Normal"/>
    <w:link w:val="BalloonTextChar"/>
    <w:rsid w:val="00387546"/>
    <w:rPr>
      <w:rFonts w:ascii="Segoe UI" w:hAnsi="Segoe UI" w:cs="Segoe UI"/>
      <w:sz w:val="18"/>
      <w:szCs w:val="18"/>
    </w:rPr>
  </w:style>
  <w:style w:type="character" w:customStyle="1" w:styleId="BalloonTextChar">
    <w:name w:val="Balloon Text Char"/>
    <w:link w:val="BalloonText"/>
    <w:rsid w:val="00387546"/>
    <w:rPr>
      <w:rFonts w:ascii="Segoe UI" w:hAnsi="Segoe UI" w:cs="Segoe UI"/>
      <w:sz w:val="18"/>
      <w:szCs w:val="18"/>
    </w:rPr>
  </w:style>
  <w:style w:type="paragraph" w:styleId="EndnoteText">
    <w:name w:val="endnote text"/>
    <w:basedOn w:val="Normal"/>
    <w:link w:val="EndnoteTextChar"/>
    <w:rsid w:val="00387546"/>
    <w:rPr>
      <w:sz w:val="20"/>
      <w:szCs w:val="20"/>
    </w:rPr>
  </w:style>
  <w:style w:type="character" w:customStyle="1" w:styleId="EndnoteTextChar">
    <w:name w:val="Endnote Text Char"/>
    <w:basedOn w:val="DefaultParagraphFont"/>
    <w:link w:val="EndnoteText"/>
    <w:rsid w:val="00387546"/>
  </w:style>
  <w:style w:type="character" w:styleId="EndnoteReference">
    <w:name w:val="endnote reference"/>
    <w:rsid w:val="00387546"/>
    <w:rPr>
      <w:vertAlign w:val="superscript"/>
    </w:rPr>
  </w:style>
  <w:style w:type="character" w:styleId="CommentReference">
    <w:name w:val="annotation reference"/>
    <w:rsid w:val="00D24731"/>
    <w:rPr>
      <w:sz w:val="16"/>
      <w:szCs w:val="16"/>
    </w:rPr>
  </w:style>
  <w:style w:type="paragraph" w:styleId="CommentText">
    <w:name w:val="annotation text"/>
    <w:basedOn w:val="Normal"/>
    <w:link w:val="CommentTextChar"/>
    <w:rsid w:val="00D24731"/>
    <w:rPr>
      <w:sz w:val="20"/>
      <w:szCs w:val="20"/>
    </w:rPr>
  </w:style>
  <w:style w:type="character" w:customStyle="1" w:styleId="CommentTextChar">
    <w:name w:val="Comment Text Char"/>
    <w:basedOn w:val="DefaultParagraphFont"/>
    <w:link w:val="CommentText"/>
    <w:rsid w:val="00D24731"/>
  </w:style>
  <w:style w:type="paragraph" w:styleId="CommentSubject">
    <w:name w:val="annotation subject"/>
    <w:basedOn w:val="CommentText"/>
    <w:next w:val="CommentText"/>
    <w:link w:val="CommentSubjectChar"/>
    <w:rsid w:val="00D24731"/>
    <w:rPr>
      <w:b/>
      <w:bCs/>
    </w:rPr>
  </w:style>
  <w:style w:type="character" w:customStyle="1" w:styleId="CommentSubjectChar">
    <w:name w:val="Comment Subject Char"/>
    <w:link w:val="CommentSubject"/>
    <w:rsid w:val="00D24731"/>
    <w:rPr>
      <w:b/>
      <w:bCs/>
    </w:rPr>
  </w:style>
  <w:style w:type="paragraph" w:styleId="Header">
    <w:name w:val="header"/>
    <w:basedOn w:val="Normal"/>
    <w:link w:val="HeaderChar"/>
    <w:rsid w:val="00522903"/>
    <w:pPr>
      <w:tabs>
        <w:tab w:val="center" w:pos="4680"/>
        <w:tab w:val="right" w:pos="9360"/>
      </w:tabs>
    </w:pPr>
  </w:style>
  <w:style w:type="character" w:customStyle="1" w:styleId="HeaderChar">
    <w:name w:val="Header Char"/>
    <w:basedOn w:val="DefaultParagraphFont"/>
    <w:link w:val="Header"/>
    <w:rsid w:val="00522903"/>
    <w:rPr>
      <w:sz w:val="24"/>
      <w:szCs w:val="24"/>
    </w:rPr>
  </w:style>
  <w:style w:type="paragraph" w:styleId="Footer">
    <w:name w:val="footer"/>
    <w:basedOn w:val="Normal"/>
    <w:link w:val="FooterChar"/>
    <w:rsid w:val="00522903"/>
    <w:pPr>
      <w:tabs>
        <w:tab w:val="center" w:pos="4680"/>
        <w:tab w:val="right" w:pos="9360"/>
      </w:tabs>
    </w:pPr>
  </w:style>
  <w:style w:type="character" w:customStyle="1" w:styleId="FooterChar">
    <w:name w:val="Footer Char"/>
    <w:basedOn w:val="DefaultParagraphFont"/>
    <w:link w:val="Footer"/>
    <w:rsid w:val="005229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2E41C-F7F5-4823-AE7B-40246197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1203</Words>
  <Characters>6689</Characters>
  <Application>Microsoft Office Word</Application>
  <DocSecurity>0</DocSecurity>
  <PresentationFormat>11|.DOC</PresentationFormat>
  <Lines>55</Lines>
  <Paragraphs>15</Paragraphs>
  <ScaleCrop>false</ScaleCrop>
  <HeadingPairs>
    <vt:vector size="2" baseType="variant">
      <vt:variant>
        <vt:lpstr>Title</vt:lpstr>
      </vt:variant>
      <vt:variant>
        <vt:i4>1</vt:i4>
      </vt:variant>
    </vt:vector>
  </HeadingPairs>
  <TitlesOfParts>
    <vt:vector size="1" baseType="lpstr">
      <vt:lpstr>1-15-19 draft mcjc for workers compensation act (MB080639).DOC</vt:lpstr>
    </vt:vector>
  </TitlesOfParts>
  <Company>Windows User</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1-15-19 draft mcjc for workers compensation act (MB080639).DOC</dc:title>
  <dc:subject/>
  <dc:creator>steve</dc:creator>
  <cp:keywords/>
  <dc:description/>
  <cp:lastModifiedBy>Kristi Robinson</cp:lastModifiedBy>
  <cp:revision>7</cp:revision>
  <cp:lastPrinted>2019-01-15T18:58:00Z</cp:lastPrinted>
  <dcterms:created xsi:type="dcterms:W3CDTF">2019-03-20T21:28:00Z</dcterms:created>
  <dcterms:modified xsi:type="dcterms:W3CDTF">2019-05-17T19:49:00Z</dcterms:modified>
</cp:coreProperties>
</file>