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0C1B" w14:textId="29348679" w:rsidR="008E1FB4" w:rsidRDefault="008E1FB4" w:rsidP="004F2155">
      <w:pPr>
        <w:widowControl/>
        <w:spacing w:line="360" w:lineRule="auto"/>
        <w:ind w:left="720" w:hanging="720"/>
        <w:jc w:val="both"/>
        <w:rPr>
          <w:sz w:val="28"/>
        </w:rPr>
      </w:pPr>
      <w:r>
        <w:rPr>
          <w:b/>
          <w:bCs/>
          <w:sz w:val="28"/>
          <w:szCs w:val="28"/>
        </w:rPr>
        <w:t>3.11</w:t>
      </w:r>
      <w:r w:rsidR="00796213">
        <w:rPr>
          <w:b/>
          <w:bCs/>
          <w:sz w:val="28"/>
          <w:szCs w:val="28"/>
        </w:rPr>
        <w:t>A</w:t>
      </w:r>
      <w:r w:rsidR="00796213">
        <w:rPr>
          <w:b/>
          <w:bCs/>
          <w:sz w:val="28"/>
          <w:szCs w:val="28"/>
        </w:rPr>
        <w:tab/>
      </w:r>
      <w:r>
        <w:rPr>
          <w:b/>
          <w:bCs/>
          <w:sz w:val="28"/>
        </w:rPr>
        <w:tab/>
      </w:r>
      <w:r w:rsidR="00796213">
        <w:rPr>
          <w:b/>
          <w:bCs/>
          <w:sz w:val="28"/>
        </w:rPr>
        <w:t xml:space="preserve">PUBLIC DEFAMATION </w:t>
      </w:r>
      <w:r>
        <w:rPr>
          <w:sz w:val="28"/>
        </w:rPr>
        <w:t>(</w:t>
      </w:r>
      <w:r w:rsidR="00A62177">
        <w:rPr>
          <w:sz w:val="28"/>
        </w:rPr>
        <w:t xml:space="preserve">Approved </w:t>
      </w:r>
      <w:r w:rsidR="004005C7">
        <w:rPr>
          <w:sz w:val="28"/>
        </w:rPr>
        <w:t xml:space="preserve">03/2010; </w:t>
      </w:r>
      <w:r w:rsidR="00A62177">
        <w:rPr>
          <w:sz w:val="28"/>
        </w:rPr>
        <w:t>R</w:t>
      </w:r>
      <w:r w:rsidR="004005C7">
        <w:rPr>
          <w:sz w:val="28"/>
        </w:rPr>
        <w:t xml:space="preserve">evised </w:t>
      </w:r>
      <w:r w:rsidR="004F2155">
        <w:rPr>
          <w:sz w:val="28"/>
        </w:rPr>
        <w:t>11</w:t>
      </w:r>
      <w:r w:rsidR="00823382">
        <w:rPr>
          <w:sz w:val="28"/>
        </w:rPr>
        <w:t>/</w:t>
      </w:r>
      <w:r w:rsidR="00C97A06">
        <w:rPr>
          <w:sz w:val="28"/>
        </w:rPr>
        <w:t>20</w:t>
      </w:r>
      <w:r w:rsidR="004F2155">
        <w:rPr>
          <w:sz w:val="28"/>
        </w:rPr>
        <w:t>22</w:t>
      </w:r>
      <w:r>
        <w:rPr>
          <w:sz w:val="28"/>
        </w:rPr>
        <w:t>)</w:t>
      </w:r>
    </w:p>
    <w:p w14:paraId="5F179989" w14:textId="77777777" w:rsidR="00A62177" w:rsidRDefault="00A62177" w:rsidP="004F2155">
      <w:pPr>
        <w:widowControl/>
        <w:spacing w:line="360" w:lineRule="auto"/>
        <w:ind w:left="720" w:hanging="720"/>
        <w:jc w:val="both"/>
        <w:rPr>
          <w:sz w:val="28"/>
        </w:rPr>
      </w:pPr>
    </w:p>
    <w:p w14:paraId="58CD2732" w14:textId="77777777" w:rsidR="008E1FB4" w:rsidRDefault="008E1FB4" w:rsidP="004F2155">
      <w:pPr>
        <w:widowControl/>
        <w:spacing w:line="480" w:lineRule="auto"/>
        <w:jc w:val="center"/>
        <w:rPr>
          <w:sz w:val="28"/>
        </w:rPr>
      </w:pPr>
      <w:r>
        <w:rPr>
          <w:b/>
          <w:bCs/>
          <w:i/>
          <w:iCs/>
          <w:sz w:val="28"/>
        </w:rPr>
        <w:t>NOTE</w:t>
      </w:r>
      <w:r w:rsidR="00191CFC">
        <w:rPr>
          <w:b/>
          <w:bCs/>
          <w:i/>
          <w:iCs/>
          <w:sz w:val="28"/>
        </w:rPr>
        <w:t xml:space="preserve"> TO JUDGE</w:t>
      </w:r>
    </w:p>
    <w:p w14:paraId="51659CA1" w14:textId="5DDE9C5D" w:rsidR="008E1FB4" w:rsidRDefault="008E1FB4" w:rsidP="004F2155">
      <w:pPr>
        <w:pStyle w:val="BlockText"/>
        <w:tabs>
          <w:tab w:val="clear" w:pos="-1080"/>
          <w:tab w:val="clear" w:pos="-720"/>
          <w:tab w:val="clear" w:pos="0"/>
          <w:tab w:val="clear" w:pos="810"/>
          <w:tab w:val="clear" w:pos="1440"/>
          <w:tab w:val="clear" w:pos="2160"/>
          <w:tab w:val="clear" w:pos="2880"/>
          <w:tab w:val="clear" w:pos="3600"/>
          <w:tab w:val="clear" w:pos="4320"/>
          <w:tab w:val="clear" w:pos="5040"/>
          <w:tab w:val="clear" w:pos="5760"/>
          <w:tab w:val="clear" w:pos="6480"/>
          <w:tab w:val="clear" w:pos="7200"/>
          <w:tab w:val="clear" w:pos="7920"/>
        </w:tabs>
        <w:spacing w:after="0"/>
        <w:ind w:firstLine="0"/>
      </w:pPr>
      <w:r>
        <w:t>The instructions set forth below apply only where the plaintiff is a public official</w:t>
      </w:r>
      <w:r w:rsidR="00A62177">
        <w:t xml:space="preserve"> or</w:t>
      </w:r>
      <w:r>
        <w:t xml:space="preserve"> public figure, or where the plaintiff is a private person</w:t>
      </w:r>
      <w:r w:rsidR="003E3FA6">
        <w:t>,</w:t>
      </w:r>
      <w:r>
        <w:t xml:space="preserve"> but the defamatory statements involve a matter of legitimate public concern.</w:t>
      </w:r>
    </w:p>
    <w:p w14:paraId="608FCAB3" w14:textId="77777777" w:rsidR="00157D14" w:rsidRDefault="00157D14" w:rsidP="008504B4">
      <w:pPr>
        <w:pStyle w:val="BlockText"/>
        <w:tabs>
          <w:tab w:val="clear" w:pos="-1080"/>
          <w:tab w:val="clear" w:pos="-720"/>
          <w:tab w:val="clear" w:pos="0"/>
          <w:tab w:val="clear" w:pos="810"/>
          <w:tab w:val="clear" w:pos="1440"/>
          <w:tab w:val="clear" w:pos="2160"/>
          <w:tab w:val="clear" w:pos="2880"/>
          <w:tab w:val="clear" w:pos="3600"/>
          <w:tab w:val="clear" w:pos="4320"/>
          <w:tab w:val="clear" w:pos="5040"/>
          <w:tab w:val="clear" w:pos="5760"/>
          <w:tab w:val="clear" w:pos="6480"/>
          <w:tab w:val="clear" w:pos="7200"/>
          <w:tab w:val="clear" w:pos="7920"/>
        </w:tabs>
        <w:spacing w:after="0"/>
        <w:ind w:left="0" w:right="792" w:firstLine="0"/>
      </w:pPr>
    </w:p>
    <w:p w14:paraId="4236A2CE" w14:textId="2D07A09C" w:rsidR="008E1FB4" w:rsidRDefault="00B63387" w:rsidP="004F2155">
      <w:pPr>
        <w:pStyle w:val="Level2"/>
        <w:widowControl/>
        <w:numPr>
          <w:ilvl w:val="1"/>
          <w:numId w:val="1"/>
        </w:numPr>
        <w:spacing w:line="480" w:lineRule="auto"/>
        <w:ind w:left="720"/>
        <w:jc w:val="both"/>
        <w:outlineLvl w:val="1"/>
        <w:rPr>
          <w:b/>
          <w:bCs/>
          <w:sz w:val="28"/>
        </w:rPr>
      </w:pPr>
      <w:r>
        <w:rPr>
          <w:b/>
          <w:bCs/>
          <w:sz w:val="28"/>
        </w:rPr>
        <w:t>General Element</w:t>
      </w:r>
      <w:r w:rsidR="00341677">
        <w:rPr>
          <w:rStyle w:val="FootnoteReference"/>
          <w:sz w:val="28"/>
          <w:szCs w:val="28"/>
          <w:vertAlign w:val="superscript"/>
        </w:rPr>
        <w:footnoteReference w:id="1"/>
      </w:r>
    </w:p>
    <w:p w14:paraId="45109C44" w14:textId="18FB90BC" w:rsidR="008E1FB4" w:rsidRDefault="00D1390E" w:rsidP="004F2155">
      <w:pPr>
        <w:widowControl/>
        <w:spacing w:line="480" w:lineRule="auto"/>
        <w:ind w:firstLine="720"/>
        <w:jc w:val="both"/>
        <w:rPr>
          <w:sz w:val="28"/>
          <w:szCs w:val="28"/>
        </w:rPr>
      </w:pPr>
      <w:r>
        <w:rPr>
          <w:sz w:val="28"/>
          <w:szCs w:val="28"/>
        </w:rPr>
        <w:t>F</w:t>
      </w:r>
      <w:r w:rsidR="008E1FB4">
        <w:rPr>
          <w:sz w:val="28"/>
          <w:szCs w:val="28"/>
        </w:rPr>
        <w:t xml:space="preserve">or you to find that </w:t>
      </w:r>
      <w:r>
        <w:rPr>
          <w:sz w:val="28"/>
          <w:szCs w:val="28"/>
        </w:rPr>
        <w:t>[</w:t>
      </w:r>
      <w:r w:rsidR="008E1FB4">
        <w:rPr>
          <w:sz w:val="28"/>
          <w:szCs w:val="28"/>
        </w:rPr>
        <w:t>plaintiff</w:t>
      </w:r>
      <w:r>
        <w:rPr>
          <w:sz w:val="28"/>
          <w:szCs w:val="28"/>
        </w:rPr>
        <w:t>]</w:t>
      </w:r>
      <w:r w:rsidR="008E1FB4">
        <w:rPr>
          <w:sz w:val="28"/>
          <w:szCs w:val="28"/>
        </w:rPr>
        <w:t xml:space="preserve"> is entitled to recover damages from </w:t>
      </w:r>
      <w:r>
        <w:rPr>
          <w:sz w:val="28"/>
          <w:szCs w:val="28"/>
        </w:rPr>
        <w:t>[d</w:t>
      </w:r>
      <w:r w:rsidR="008E1FB4">
        <w:rPr>
          <w:sz w:val="28"/>
          <w:szCs w:val="28"/>
        </w:rPr>
        <w:t>efendant</w:t>
      </w:r>
      <w:r>
        <w:rPr>
          <w:sz w:val="28"/>
          <w:szCs w:val="28"/>
        </w:rPr>
        <w:t>]</w:t>
      </w:r>
      <w:r w:rsidR="008E1FB4">
        <w:rPr>
          <w:sz w:val="28"/>
          <w:szCs w:val="28"/>
        </w:rPr>
        <w:t xml:space="preserve"> for defamation, you must find by clear and convincing evidence th</w:t>
      </w:r>
      <w:r>
        <w:rPr>
          <w:sz w:val="28"/>
          <w:szCs w:val="28"/>
        </w:rPr>
        <w:t>at</w:t>
      </w:r>
      <w:r w:rsidR="008E1FB4">
        <w:rPr>
          <w:sz w:val="28"/>
          <w:szCs w:val="28"/>
        </w:rPr>
        <w:t xml:space="preserve"> </w:t>
      </w:r>
      <w:r>
        <w:rPr>
          <w:sz w:val="28"/>
          <w:szCs w:val="28"/>
        </w:rPr>
        <w:t>[</w:t>
      </w:r>
      <w:r w:rsidR="008E1FB4">
        <w:rPr>
          <w:sz w:val="28"/>
          <w:szCs w:val="28"/>
        </w:rPr>
        <w:t>defendant</w:t>
      </w:r>
      <w:r>
        <w:rPr>
          <w:sz w:val="28"/>
          <w:szCs w:val="28"/>
        </w:rPr>
        <w:t>]</w:t>
      </w:r>
      <w:r w:rsidR="008E1FB4">
        <w:rPr>
          <w:sz w:val="28"/>
          <w:szCs w:val="28"/>
        </w:rPr>
        <w:t xml:space="preserve"> communicated to a person other than </w:t>
      </w:r>
      <w:r>
        <w:rPr>
          <w:sz w:val="28"/>
          <w:szCs w:val="28"/>
        </w:rPr>
        <w:t>[</w:t>
      </w:r>
      <w:r w:rsidR="008E1FB4">
        <w:rPr>
          <w:sz w:val="28"/>
          <w:szCs w:val="28"/>
        </w:rPr>
        <w:t>plaintiff</w:t>
      </w:r>
      <w:r>
        <w:rPr>
          <w:sz w:val="28"/>
          <w:szCs w:val="28"/>
        </w:rPr>
        <w:t>]</w:t>
      </w:r>
      <w:r w:rsidR="008E1FB4">
        <w:rPr>
          <w:sz w:val="28"/>
          <w:szCs w:val="28"/>
        </w:rPr>
        <w:t xml:space="preserve"> a false and defamatory </w:t>
      </w:r>
      <w:r w:rsidR="0086280C">
        <w:rPr>
          <w:sz w:val="28"/>
          <w:szCs w:val="28"/>
        </w:rPr>
        <w:t>statement o</w:t>
      </w:r>
      <w:r w:rsidR="008E1FB4">
        <w:rPr>
          <w:sz w:val="28"/>
          <w:szCs w:val="28"/>
        </w:rPr>
        <w:t xml:space="preserve">f </w:t>
      </w:r>
      <w:r w:rsidR="008E1FB4">
        <w:rPr>
          <w:sz w:val="28"/>
          <w:szCs w:val="28"/>
        </w:rPr>
        <w:lastRenderedPageBreak/>
        <w:t>fact</w:t>
      </w:r>
      <w:r w:rsidR="00341677" w:rsidRPr="0086280C">
        <w:rPr>
          <w:rStyle w:val="FootnoteReference"/>
          <w:sz w:val="28"/>
          <w:szCs w:val="28"/>
          <w:vertAlign w:val="superscript"/>
        </w:rPr>
        <w:footnoteReference w:id="2"/>
      </w:r>
      <w:r w:rsidR="008E1FB4">
        <w:rPr>
          <w:sz w:val="28"/>
          <w:szCs w:val="28"/>
        </w:rPr>
        <w:t xml:space="preserve"> concerning </w:t>
      </w:r>
      <w:r>
        <w:rPr>
          <w:sz w:val="28"/>
          <w:szCs w:val="28"/>
        </w:rPr>
        <w:t>[</w:t>
      </w:r>
      <w:r w:rsidR="008E1FB4">
        <w:rPr>
          <w:sz w:val="28"/>
          <w:szCs w:val="28"/>
        </w:rPr>
        <w:t>plaintiff</w:t>
      </w:r>
      <w:r>
        <w:rPr>
          <w:sz w:val="28"/>
          <w:szCs w:val="28"/>
        </w:rPr>
        <w:t>]</w:t>
      </w:r>
      <w:r w:rsidR="008E1FB4">
        <w:rPr>
          <w:sz w:val="28"/>
          <w:szCs w:val="28"/>
        </w:rPr>
        <w:t xml:space="preserve"> with actual knowledge that the statement was false or with reckless disregard of its truth or falsity, thereby causing </w:t>
      </w:r>
      <w:r>
        <w:rPr>
          <w:sz w:val="28"/>
          <w:szCs w:val="28"/>
        </w:rPr>
        <w:t>[</w:t>
      </w:r>
      <w:r w:rsidR="008E1FB4">
        <w:rPr>
          <w:sz w:val="28"/>
          <w:szCs w:val="28"/>
        </w:rPr>
        <w:t>plaintiff</w:t>
      </w:r>
      <w:r>
        <w:rPr>
          <w:sz w:val="28"/>
          <w:szCs w:val="28"/>
        </w:rPr>
        <w:t>]</w:t>
      </w:r>
      <w:r w:rsidR="008E1FB4">
        <w:rPr>
          <w:sz w:val="28"/>
          <w:szCs w:val="28"/>
        </w:rPr>
        <w:t xml:space="preserve"> to incur actual damages.</w:t>
      </w:r>
    </w:p>
    <w:p w14:paraId="2947B7F8" w14:textId="158490CC" w:rsidR="008E1FB4" w:rsidRDefault="00D1390E" w:rsidP="004F2155">
      <w:pPr>
        <w:widowControl/>
        <w:spacing w:line="480" w:lineRule="auto"/>
        <w:ind w:firstLine="720"/>
        <w:jc w:val="both"/>
        <w:rPr>
          <w:sz w:val="28"/>
          <w:szCs w:val="28"/>
        </w:rPr>
      </w:pPr>
      <w:r>
        <w:rPr>
          <w:sz w:val="28"/>
          <w:szCs w:val="28"/>
        </w:rPr>
        <w:t xml:space="preserve">[Plaintiff] must prove </w:t>
      </w:r>
      <w:r w:rsidR="008E1FB4">
        <w:rPr>
          <w:sz w:val="28"/>
          <w:szCs w:val="28"/>
        </w:rPr>
        <w:t xml:space="preserve">five elements by clear and convincing evidence to prevail </w:t>
      </w:r>
      <w:r>
        <w:rPr>
          <w:sz w:val="28"/>
          <w:szCs w:val="28"/>
        </w:rPr>
        <w:t>here</w:t>
      </w:r>
      <w:r w:rsidR="008E1FB4">
        <w:rPr>
          <w:sz w:val="28"/>
          <w:szCs w:val="28"/>
        </w:rPr>
        <w:t xml:space="preserve">.  These five elements are: (1) </w:t>
      </w:r>
      <w:r>
        <w:rPr>
          <w:sz w:val="28"/>
          <w:szCs w:val="28"/>
        </w:rPr>
        <w:t xml:space="preserve">that [defendant] made </w:t>
      </w:r>
      <w:r w:rsidR="008E1FB4">
        <w:rPr>
          <w:sz w:val="28"/>
          <w:szCs w:val="28"/>
        </w:rPr>
        <w:t xml:space="preserve">a defamatory statement of fact; (2) concerning </w:t>
      </w:r>
      <w:r>
        <w:rPr>
          <w:sz w:val="28"/>
          <w:szCs w:val="28"/>
        </w:rPr>
        <w:t>[</w:t>
      </w:r>
      <w:r w:rsidR="008E1FB4">
        <w:rPr>
          <w:sz w:val="28"/>
          <w:szCs w:val="28"/>
        </w:rPr>
        <w:t>plaintiff</w:t>
      </w:r>
      <w:r>
        <w:rPr>
          <w:sz w:val="28"/>
          <w:szCs w:val="28"/>
        </w:rPr>
        <w:t>]</w:t>
      </w:r>
      <w:r w:rsidR="008E1FB4">
        <w:rPr>
          <w:sz w:val="28"/>
          <w:szCs w:val="28"/>
        </w:rPr>
        <w:t xml:space="preserve">; (3) which was false and (4) which was communicated to </w:t>
      </w:r>
      <w:r>
        <w:rPr>
          <w:sz w:val="28"/>
          <w:szCs w:val="28"/>
        </w:rPr>
        <w:t xml:space="preserve">at least one </w:t>
      </w:r>
      <w:r w:rsidR="008E1FB4">
        <w:rPr>
          <w:sz w:val="28"/>
          <w:szCs w:val="28"/>
        </w:rPr>
        <w:t xml:space="preserve">person other than </w:t>
      </w:r>
      <w:r>
        <w:rPr>
          <w:sz w:val="28"/>
          <w:szCs w:val="28"/>
        </w:rPr>
        <w:t>[</w:t>
      </w:r>
      <w:r w:rsidR="008E1FB4">
        <w:rPr>
          <w:sz w:val="28"/>
          <w:szCs w:val="28"/>
        </w:rPr>
        <w:t>plaintiff</w:t>
      </w:r>
      <w:r>
        <w:rPr>
          <w:sz w:val="28"/>
          <w:szCs w:val="28"/>
        </w:rPr>
        <w:t>]</w:t>
      </w:r>
      <w:r w:rsidR="008E1FB4">
        <w:rPr>
          <w:sz w:val="28"/>
          <w:szCs w:val="28"/>
        </w:rPr>
        <w:t xml:space="preserve"> (5) with </w:t>
      </w:r>
      <w:r>
        <w:rPr>
          <w:sz w:val="28"/>
          <w:szCs w:val="28"/>
        </w:rPr>
        <w:t xml:space="preserve">[defendant’s] </w:t>
      </w:r>
      <w:r w:rsidR="008E1FB4">
        <w:rPr>
          <w:sz w:val="28"/>
          <w:szCs w:val="28"/>
        </w:rPr>
        <w:t xml:space="preserve">actual knowledge that the statement was false or with </w:t>
      </w:r>
      <w:r>
        <w:rPr>
          <w:sz w:val="28"/>
          <w:szCs w:val="28"/>
        </w:rPr>
        <w:t xml:space="preserve">[defendant’s] </w:t>
      </w:r>
      <w:r w:rsidR="008E1FB4">
        <w:rPr>
          <w:sz w:val="28"/>
          <w:szCs w:val="28"/>
        </w:rPr>
        <w:t>reckless disregard of the statement’s truth or falsity.</w:t>
      </w:r>
      <w:r w:rsidR="00E40474">
        <w:rPr>
          <w:sz w:val="28"/>
          <w:szCs w:val="28"/>
        </w:rPr>
        <w:t xml:space="preserve">  </w:t>
      </w:r>
      <w:r w:rsidR="008E1FB4">
        <w:rPr>
          <w:sz w:val="28"/>
          <w:szCs w:val="28"/>
        </w:rPr>
        <w:t>I will now explain</w:t>
      </w:r>
      <w:r w:rsidR="00E2792C">
        <w:rPr>
          <w:sz w:val="28"/>
          <w:szCs w:val="28"/>
        </w:rPr>
        <w:t xml:space="preserve"> each of these five </w:t>
      </w:r>
      <w:r w:rsidR="008E1FB4">
        <w:rPr>
          <w:sz w:val="28"/>
          <w:szCs w:val="28"/>
        </w:rPr>
        <w:t>elements.</w:t>
      </w:r>
    </w:p>
    <w:p w14:paraId="3F6961B6" w14:textId="77777777" w:rsidR="008E1FB4" w:rsidRDefault="008E1FB4" w:rsidP="004F2155">
      <w:pPr>
        <w:widowControl/>
        <w:spacing w:line="480" w:lineRule="auto"/>
        <w:ind w:left="720" w:hanging="720"/>
        <w:jc w:val="both"/>
        <w:rPr>
          <w:sz w:val="28"/>
          <w:szCs w:val="28"/>
        </w:rPr>
      </w:pPr>
      <w:r>
        <w:rPr>
          <w:b/>
          <w:bCs/>
          <w:sz w:val="28"/>
          <w:szCs w:val="28"/>
        </w:rPr>
        <w:t>2.</w:t>
      </w:r>
      <w:r>
        <w:rPr>
          <w:b/>
          <w:bCs/>
          <w:sz w:val="28"/>
          <w:szCs w:val="28"/>
        </w:rPr>
        <w:tab/>
        <w:t>Elements</w:t>
      </w:r>
      <w:r>
        <w:rPr>
          <w:sz w:val="28"/>
          <w:szCs w:val="28"/>
        </w:rPr>
        <w:t xml:space="preserve"> </w:t>
      </w:r>
    </w:p>
    <w:p w14:paraId="48D65AEF" w14:textId="2506B2F4" w:rsidR="008E1FB4" w:rsidRDefault="008E1FB4" w:rsidP="004F2155">
      <w:pPr>
        <w:widowControl/>
        <w:ind w:firstLine="720"/>
        <w:jc w:val="both"/>
        <w:rPr>
          <w:b/>
          <w:bCs/>
          <w:sz w:val="28"/>
          <w:szCs w:val="28"/>
        </w:rPr>
      </w:pPr>
      <w:r>
        <w:rPr>
          <w:b/>
          <w:bCs/>
          <w:sz w:val="28"/>
          <w:szCs w:val="28"/>
        </w:rPr>
        <w:t>a.</w:t>
      </w:r>
      <w:r>
        <w:rPr>
          <w:b/>
          <w:bCs/>
          <w:sz w:val="28"/>
          <w:szCs w:val="28"/>
        </w:rPr>
        <w:tab/>
        <w:t>Th</w:t>
      </w:r>
      <w:r w:rsidR="00D1390E">
        <w:rPr>
          <w:b/>
          <w:bCs/>
          <w:sz w:val="28"/>
          <w:szCs w:val="28"/>
        </w:rPr>
        <w:t>at</w:t>
      </w:r>
      <w:r>
        <w:rPr>
          <w:b/>
          <w:bCs/>
          <w:sz w:val="28"/>
          <w:szCs w:val="28"/>
        </w:rPr>
        <w:t xml:space="preserve"> </w:t>
      </w:r>
      <w:r w:rsidR="00D1390E">
        <w:rPr>
          <w:b/>
          <w:bCs/>
          <w:sz w:val="28"/>
          <w:szCs w:val="28"/>
        </w:rPr>
        <w:t xml:space="preserve">[defendant] </w:t>
      </w:r>
      <w:r>
        <w:rPr>
          <w:b/>
          <w:bCs/>
          <w:sz w:val="28"/>
          <w:szCs w:val="28"/>
        </w:rPr>
        <w:t>m</w:t>
      </w:r>
      <w:r w:rsidR="00D1390E">
        <w:rPr>
          <w:b/>
          <w:bCs/>
          <w:sz w:val="28"/>
          <w:szCs w:val="28"/>
        </w:rPr>
        <w:t>ade</w:t>
      </w:r>
      <w:r>
        <w:rPr>
          <w:b/>
          <w:bCs/>
          <w:sz w:val="28"/>
          <w:szCs w:val="28"/>
        </w:rPr>
        <w:t xml:space="preserve"> a defamatory statement of fact.</w:t>
      </w:r>
    </w:p>
    <w:p w14:paraId="0D0C141C" w14:textId="77777777" w:rsidR="00157D14" w:rsidRDefault="00157D14" w:rsidP="008504B4">
      <w:pPr>
        <w:widowControl/>
        <w:jc w:val="both"/>
        <w:rPr>
          <w:b/>
          <w:bCs/>
          <w:sz w:val="28"/>
          <w:szCs w:val="28"/>
        </w:rPr>
      </w:pPr>
    </w:p>
    <w:p w14:paraId="626B582A" w14:textId="6105E2FD" w:rsidR="00E40474" w:rsidRDefault="008E1FB4" w:rsidP="004F2155">
      <w:pPr>
        <w:widowControl/>
        <w:spacing w:line="480" w:lineRule="auto"/>
        <w:ind w:firstLine="720"/>
        <w:jc w:val="both"/>
        <w:rPr>
          <w:sz w:val="28"/>
          <w:szCs w:val="28"/>
        </w:rPr>
      </w:pPr>
      <w:r>
        <w:rPr>
          <w:sz w:val="28"/>
          <w:szCs w:val="28"/>
        </w:rPr>
        <w:t xml:space="preserve">A defamatory statement is a statement of fact which is injurious to the reputation of </w:t>
      </w:r>
      <w:r w:rsidR="00D1390E">
        <w:rPr>
          <w:sz w:val="28"/>
          <w:szCs w:val="28"/>
        </w:rPr>
        <w:t>[</w:t>
      </w:r>
      <w:r>
        <w:rPr>
          <w:sz w:val="28"/>
          <w:szCs w:val="28"/>
        </w:rPr>
        <w:t>plaintiff</w:t>
      </w:r>
      <w:r w:rsidR="00D1390E">
        <w:rPr>
          <w:sz w:val="28"/>
          <w:szCs w:val="28"/>
        </w:rPr>
        <w:t>]</w:t>
      </w:r>
      <w:r>
        <w:rPr>
          <w:sz w:val="28"/>
          <w:szCs w:val="28"/>
        </w:rPr>
        <w:t xml:space="preserve">, or which exposes </w:t>
      </w:r>
      <w:r w:rsidR="00D1390E">
        <w:rPr>
          <w:sz w:val="28"/>
          <w:szCs w:val="28"/>
        </w:rPr>
        <w:t xml:space="preserve">[plaintiff] </w:t>
      </w:r>
      <w:r>
        <w:rPr>
          <w:sz w:val="28"/>
          <w:szCs w:val="28"/>
        </w:rPr>
        <w:t xml:space="preserve">to </w:t>
      </w:r>
      <w:r w:rsidR="00D1390E">
        <w:rPr>
          <w:sz w:val="28"/>
          <w:szCs w:val="28"/>
        </w:rPr>
        <w:t>[</w:t>
      </w:r>
      <w:r w:rsidR="007E5C83" w:rsidRPr="007E5C83">
        <w:rPr>
          <w:i/>
          <w:sz w:val="28"/>
          <w:szCs w:val="28"/>
        </w:rPr>
        <w:t>choose applicable category</w:t>
      </w:r>
      <w:r w:rsidR="00D1390E">
        <w:rPr>
          <w:sz w:val="28"/>
          <w:szCs w:val="28"/>
        </w:rPr>
        <w:t xml:space="preserve">] </w:t>
      </w:r>
      <w:r>
        <w:rPr>
          <w:sz w:val="28"/>
          <w:szCs w:val="28"/>
        </w:rPr>
        <w:t xml:space="preserve">hatred, </w:t>
      </w:r>
      <w:proofErr w:type="gramStart"/>
      <w:r>
        <w:rPr>
          <w:sz w:val="28"/>
          <w:szCs w:val="28"/>
        </w:rPr>
        <w:t>contempt</w:t>
      </w:r>
      <w:proofErr w:type="gramEnd"/>
      <w:r>
        <w:rPr>
          <w:sz w:val="28"/>
          <w:szCs w:val="28"/>
        </w:rPr>
        <w:t xml:space="preserve"> or ridicule, or to a loss of the good will and confidence felt toward </w:t>
      </w:r>
      <w:r w:rsidR="00053A55">
        <w:rPr>
          <w:sz w:val="28"/>
          <w:szCs w:val="28"/>
        </w:rPr>
        <w:lastRenderedPageBreak/>
        <w:t>[plaintiff]</w:t>
      </w:r>
      <w:r>
        <w:rPr>
          <w:sz w:val="28"/>
          <w:szCs w:val="28"/>
        </w:rPr>
        <w:t xml:space="preserve"> by others, or which has a tendency to injure </w:t>
      </w:r>
      <w:r w:rsidR="00053A55">
        <w:rPr>
          <w:sz w:val="28"/>
          <w:szCs w:val="28"/>
        </w:rPr>
        <w:t>[plaintiff]</w:t>
      </w:r>
      <w:r>
        <w:rPr>
          <w:sz w:val="28"/>
          <w:szCs w:val="28"/>
        </w:rPr>
        <w:t xml:space="preserve"> in </w:t>
      </w:r>
      <w:r w:rsidR="00053A55">
        <w:rPr>
          <w:sz w:val="28"/>
          <w:szCs w:val="28"/>
        </w:rPr>
        <w:t>[plaintiff’s]</w:t>
      </w:r>
      <w:r>
        <w:rPr>
          <w:sz w:val="28"/>
          <w:szCs w:val="28"/>
        </w:rPr>
        <w:t xml:space="preserve"> trade or business.</w:t>
      </w:r>
      <w:r>
        <w:rPr>
          <w:rStyle w:val="FootnoteReference"/>
          <w:sz w:val="28"/>
          <w:szCs w:val="28"/>
          <w:vertAlign w:val="superscript"/>
        </w:rPr>
        <w:footnoteReference w:id="3"/>
      </w:r>
    </w:p>
    <w:p w14:paraId="4B223F30" w14:textId="77777777" w:rsidR="008E1FB4" w:rsidRDefault="008E1FB4" w:rsidP="004F2155">
      <w:pPr>
        <w:widowControl/>
        <w:spacing w:line="480" w:lineRule="auto"/>
        <w:ind w:firstLine="720"/>
        <w:jc w:val="both"/>
        <w:rPr>
          <w:sz w:val="28"/>
          <w:szCs w:val="28"/>
        </w:rPr>
      </w:pPr>
      <w:r>
        <w:rPr>
          <w:sz w:val="28"/>
          <w:szCs w:val="28"/>
        </w:rPr>
        <w:t>To be defamatory, the statement must be a statement of fact.  Statements of opinion are not actionable</w:t>
      </w:r>
      <w:r w:rsidR="003F63E0">
        <w:rPr>
          <w:sz w:val="28"/>
          <w:szCs w:val="28"/>
        </w:rPr>
        <w:t xml:space="preserve">.  You must </w:t>
      </w:r>
      <w:r>
        <w:rPr>
          <w:sz w:val="28"/>
          <w:szCs w:val="28"/>
        </w:rPr>
        <w:t>not consider them in any way.</w:t>
      </w:r>
      <w:r>
        <w:rPr>
          <w:rStyle w:val="FootnoteReference"/>
          <w:sz w:val="28"/>
          <w:szCs w:val="28"/>
          <w:vertAlign w:val="superscript"/>
        </w:rPr>
        <w:footnoteReference w:id="4"/>
      </w:r>
    </w:p>
    <w:p w14:paraId="6769D830" w14:textId="4E2D7A67" w:rsidR="00FE2895" w:rsidRDefault="003F63E0" w:rsidP="00654187">
      <w:pPr>
        <w:widowControl/>
        <w:spacing w:line="480" w:lineRule="auto"/>
        <w:ind w:firstLine="720"/>
        <w:jc w:val="both"/>
        <w:rPr>
          <w:sz w:val="28"/>
          <w:szCs w:val="28"/>
        </w:rPr>
      </w:pPr>
      <w:r>
        <w:rPr>
          <w:sz w:val="28"/>
          <w:szCs w:val="28"/>
        </w:rPr>
        <w:t xml:space="preserve">Here, the </w:t>
      </w:r>
      <w:r w:rsidR="008E1FB4">
        <w:rPr>
          <w:sz w:val="28"/>
          <w:szCs w:val="28"/>
        </w:rPr>
        <w:t>statement of fact alleged t</w:t>
      </w:r>
      <w:r>
        <w:rPr>
          <w:sz w:val="28"/>
          <w:szCs w:val="28"/>
        </w:rPr>
        <w:t>o have</w:t>
      </w:r>
      <w:r w:rsidR="008E1FB4">
        <w:rPr>
          <w:sz w:val="28"/>
          <w:szCs w:val="28"/>
        </w:rPr>
        <w:t xml:space="preserve"> </w:t>
      </w:r>
      <w:r>
        <w:rPr>
          <w:sz w:val="28"/>
          <w:szCs w:val="28"/>
        </w:rPr>
        <w:t>been made by [</w:t>
      </w:r>
      <w:r w:rsidR="008E1FB4">
        <w:rPr>
          <w:sz w:val="28"/>
          <w:szCs w:val="28"/>
        </w:rPr>
        <w:t>defendant</w:t>
      </w:r>
      <w:r>
        <w:rPr>
          <w:sz w:val="28"/>
          <w:szCs w:val="28"/>
        </w:rPr>
        <w:t>] is ___________________</w:t>
      </w:r>
      <w:r w:rsidR="008E1FB4">
        <w:rPr>
          <w:sz w:val="28"/>
          <w:szCs w:val="28"/>
        </w:rPr>
        <w:t xml:space="preserve">.  This may be interpreted </w:t>
      </w:r>
      <w:r>
        <w:rPr>
          <w:sz w:val="28"/>
          <w:szCs w:val="28"/>
        </w:rPr>
        <w:t xml:space="preserve">in two ways:  First, </w:t>
      </w:r>
      <w:r w:rsidR="008E1FB4">
        <w:rPr>
          <w:sz w:val="28"/>
          <w:szCs w:val="28"/>
        </w:rPr>
        <w:t xml:space="preserve">it may be understood to mean ______________________. </w:t>
      </w:r>
      <w:r>
        <w:rPr>
          <w:sz w:val="28"/>
          <w:szCs w:val="28"/>
        </w:rPr>
        <w:t xml:space="preserve"> This </w:t>
      </w:r>
      <w:r w:rsidR="008E1FB4">
        <w:rPr>
          <w:sz w:val="28"/>
          <w:szCs w:val="28"/>
        </w:rPr>
        <w:t xml:space="preserve">meaning is clearly defamatory to </w:t>
      </w:r>
      <w:r>
        <w:rPr>
          <w:sz w:val="28"/>
          <w:szCs w:val="28"/>
        </w:rPr>
        <w:t>[</w:t>
      </w:r>
      <w:r w:rsidR="008E1FB4">
        <w:rPr>
          <w:sz w:val="28"/>
          <w:szCs w:val="28"/>
        </w:rPr>
        <w:t>plaintiff</w:t>
      </w:r>
      <w:r>
        <w:rPr>
          <w:sz w:val="28"/>
          <w:szCs w:val="28"/>
        </w:rPr>
        <w:t>]</w:t>
      </w:r>
      <w:r w:rsidR="008E1FB4">
        <w:rPr>
          <w:sz w:val="28"/>
          <w:szCs w:val="28"/>
        </w:rPr>
        <w:t xml:space="preserve"> if it exposed </w:t>
      </w:r>
      <w:r w:rsidR="008504B4">
        <w:rPr>
          <w:sz w:val="28"/>
          <w:szCs w:val="28"/>
        </w:rPr>
        <w:t>[plaintiff]</w:t>
      </w:r>
      <w:r w:rsidR="008E1FB4">
        <w:rPr>
          <w:sz w:val="28"/>
          <w:szCs w:val="28"/>
        </w:rPr>
        <w:t xml:space="preserve"> to the contempt and ridicule of others</w:t>
      </w:r>
      <w:r>
        <w:rPr>
          <w:sz w:val="28"/>
          <w:szCs w:val="28"/>
        </w:rPr>
        <w:t>;</w:t>
      </w:r>
      <w:r w:rsidR="008E1FB4">
        <w:rPr>
          <w:sz w:val="28"/>
          <w:szCs w:val="28"/>
        </w:rPr>
        <w:t xml:space="preserve"> it is in this sense that </w:t>
      </w:r>
      <w:r>
        <w:rPr>
          <w:sz w:val="28"/>
          <w:szCs w:val="28"/>
        </w:rPr>
        <w:t>[</w:t>
      </w:r>
      <w:r w:rsidR="008E1FB4">
        <w:rPr>
          <w:sz w:val="28"/>
          <w:szCs w:val="28"/>
        </w:rPr>
        <w:t>plaintiff</w:t>
      </w:r>
      <w:r>
        <w:rPr>
          <w:sz w:val="28"/>
          <w:szCs w:val="28"/>
        </w:rPr>
        <w:t>]</w:t>
      </w:r>
      <w:r w:rsidR="008E1FB4">
        <w:rPr>
          <w:sz w:val="28"/>
          <w:szCs w:val="28"/>
        </w:rPr>
        <w:t xml:space="preserve"> contends that it was generally understood.  </w:t>
      </w:r>
      <w:r>
        <w:rPr>
          <w:sz w:val="28"/>
          <w:szCs w:val="28"/>
        </w:rPr>
        <w:t xml:space="preserve">The second meaning, however, is </w:t>
      </w:r>
      <w:r w:rsidR="008E1FB4">
        <w:rPr>
          <w:sz w:val="28"/>
          <w:szCs w:val="28"/>
        </w:rPr>
        <w:t>_____</w:t>
      </w:r>
      <w:r w:rsidR="007E5C83">
        <w:rPr>
          <w:sz w:val="28"/>
          <w:szCs w:val="28"/>
        </w:rPr>
        <w:t>__</w:t>
      </w:r>
      <w:r w:rsidR="008E1FB4">
        <w:rPr>
          <w:sz w:val="28"/>
          <w:szCs w:val="28"/>
        </w:rPr>
        <w:t>________.  In this sense, of course, the statement is innocent and non</w:t>
      </w:r>
      <w:r w:rsidR="008E1FB4">
        <w:rPr>
          <w:sz w:val="28"/>
          <w:szCs w:val="28"/>
        </w:rPr>
        <w:noBreakHyphen/>
        <w:t xml:space="preserve">defamatory, and it is in this sense that </w:t>
      </w:r>
      <w:r>
        <w:rPr>
          <w:sz w:val="28"/>
          <w:szCs w:val="28"/>
        </w:rPr>
        <w:t>[</w:t>
      </w:r>
      <w:r w:rsidR="008E1FB4">
        <w:rPr>
          <w:sz w:val="28"/>
          <w:szCs w:val="28"/>
        </w:rPr>
        <w:t>defendant</w:t>
      </w:r>
      <w:r>
        <w:rPr>
          <w:sz w:val="28"/>
          <w:szCs w:val="28"/>
        </w:rPr>
        <w:t>]</w:t>
      </w:r>
      <w:r w:rsidR="008E1FB4">
        <w:rPr>
          <w:sz w:val="28"/>
          <w:szCs w:val="28"/>
        </w:rPr>
        <w:t xml:space="preserve"> contends it was understood.</w:t>
      </w:r>
      <w:r w:rsidR="008E1FB4">
        <w:rPr>
          <w:rStyle w:val="FootnoteReference"/>
          <w:sz w:val="28"/>
          <w:szCs w:val="28"/>
          <w:vertAlign w:val="superscript"/>
        </w:rPr>
        <w:footnoteReference w:id="5"/>
      </w:r>
    </w:p>
    <w:p w14:paraId="34E60EC1" w14:textId="693C55EA" w:rsidR="008E1FB4" w:rsidRDefault="003F63E0" w:rsidP="004F2155">
      <w:pPr>
        <w:widowControl/>
        <w:spacing w:line="480" w:lineRule="auto"/>
        <w:ind w:firstLine="720"/>
        <w:jc w:val="both"/>
        <w:rPr>
          <w:sz w:val="28"/>
          <w:szCs w:val="28"/>
        </w:rPr>
      </w:pPr>
      <w:r>
        <w:rPr>
          <w:sz w:val="28"/>
          <w:szCs w:val="28"/>
        </w:rPr>
        <w:lastRenderedPageBreak/>
        <w:t xml:space="preserve">You must </w:t>
      </w:r>
      <w:r w:rsidR="008E1FB4">
        <w:rPr>
          <w:sz w:val="28"/>
          <w:szCs w:val="28"/>
        </w:rPr>
        <w:t xml:space="preserve">determine, in light of all the evidence, if the words used by </w:t>
      </w:r>
      <w:r>
        <w:rPr>
          <w:sz w:val="28"/>
          <w:szCs w:val="28"/>
        </w:rPr>
        <w:t>[</w:t>
      </w:r>
      <w:r w:rsidR="008E1FB4">
        <w:rPr>
          <w:sz w:val="28"/>
          <w:szCs w:val="28"/>
        </w:rPr>
        <w:t>defendant</w:t>
      </w:r>
      <w:r>
        <w:rPr>
          <w:sz w:val="28"/>
          <w:szCs w:val="28"/>
        </w:rPr>
        <w:t>]</w:t>
      </w:r>
      <w:r w:rsidR="008E1FB4">
        <w:rPr>
          <w:sz w:val="28"/>
          <w:szCs w:val="28"/>
        </w:rPr>
        <w:t xml:space="preserve"> were understood in their defamatory sense by the reasonable person who read [</w:t>
      </w:r>
      <w:r w:rsidR="008E1FB4" w:rsidRPr="007E5C83">
        <w:rPr>
          <w:i/>
          <w:sz w:val="28"/>
          <w:szCs w:val="28"/>
        </w:rPr>
        <w:t>heard</w:t>
      </w:r>
      <w:r w:rsidR="008E1FB4">
        <w:rPr>
          <w:sz w:val="28"/>
          <w:szCs w:val="28"/>
        </w:rPr>
        <w:t>] them.</w:t>
      </w:r>
      <w:r>
        <w:rPr>
          <w:sz w:val="28"/>
          <w:szCs w:val="28"/>
        </w:rPr>
        <w:t xml:space="preserve">  </w:t>
      </w:r>
      <w:r w:rsidR="008E1FB4">
        <w:rPr>
          <w:sz w:val="28"/>
          <w:szCs w:val="28"/>
        </w:rPr>
        <w:t xml:space="preserve">In </w:t>
      </w:r>
      <w:r>
        <w:rPr>
          <w:sz w:val="28"/>
          <w:szCs w:val="28"/>
        </w:rPr>
        <w:t xml:space="preserve">this regard, </w:t>
      </w:r>
      <w:r w:rsidR="008E1FB4">
        <w:rPr>
          <w:sz w:val="28"/>
          <w:szCs w:val="28"/>
        </w:rPr>
        <w:t xml:space="preserve">you are, of course, free to consider the common and ordinary meaning of the words used in the context of the statement, but bear in mind that your deliberations are not to be governed solely by what you yourselves believe to be the meaning of the language used nor, indeed, by what you personally believe </w:t>
      </w:r>
      <w:r>
        <w:rPr>
          <w:sz w:val="28"/>
          <w:szCs w:val="28"/>
        </w:rPr>
        <w:t>[</w:t>
      </w:r>
      <w:r w:rsidR="008E1FB4">
        <w:rPr>
          <w:sz w:val="28"/>
          <w:szCs w:val="28"/>
        </w:rPr>
        <w:t>defendant</w:t>
      </w:r>
      <w:r>
        <w:rPr>
          <w:sz w:val="28"/>
          <w:szCs w:val="28"/>
        </w:rPr>
        <w:t>]</w:t>
      </w:r>
      <w:r w:rsidR="008E1FB4">
        <w:rPr>
          <w:sz w:val="28"/>
          <w:szCs w:val="28"/>
        </w:rPr>
        <w:t xml:space="preserve"> intended to be understood.  The test is what you find from all the evidence the words were understood to mean by the reasonable person who read [</w:t>
      </w:r>
      <w:r w:rsidR="008E1FB4" w:rsidRPr="007E5C83">
        <w:rPr>
          <w:i/>
          <w:sz w:val="28"/>
          <w:szCs w:val="28"/>
        </w:rPr>
        <w:t>heard</w:t>
      </w:r>
      <w:r w:rsidR="008E1FB4">
        <w:rPr>
          <w:sz w:val="28"/>
          <w:szCs w:val="28"/>
        </w:rPr>
        <w:t>] them.</w:t>
      </w:r>
      <w:r w:rsidR="008E1FB4">
        <w:rPr>
          <w:rStyle w:val="FootnoteReference"/>
          <w:sz w:val="28"/>
          <w:szCs w:val="28"/>
          <w:vertAlign w:val="superscript"/>
        </w:rPr>
        <w:footnoteReference w:id="6"/>
      </w:r>
    </w:p>
    <w:p w14:paraId="637A2962" w14:textId="7A03800F" w:rsidR="00157D14" w:rsidRDefault="008E1FB4" w:rsidP="00654187">
      <w:pPr>
        <w:pStyle w:val="BodyTextIndent"/>
        <w:numPr>
          <w:ilvl w:val="0"/>
          <w:numId w:val="5"/>
        </w:numPr>
        <w:tabs>
          <w:tab w:val="clear" w:pos="-1080"/>
          <w:tab w:val="clear" w:pos="-720"/>
          <w:tab w:val="clear" w:pos="0"/>
          <w:tab w:val="clear" w:pos="810"/>
          <w:tab w:val="clear" w:pos="1440"/>
          <w:tab w:val="clear" w:pos="2160"/>
          <w:tab w:val="clear" w:pos="2880"/>
          <w:tab w:val="clear" w:pos="3240"/>
          <w:tab w:val="clear" w:pos="3600"/>
          <w:tab w:val="clear" w:pos="4320"/>
          <w:tab w:val="clear" w:pos="5040"/>
          <w:tab w:val="clear" w:pos="5760"/>
          <w:tab w:val="clear" w:pos="6480"/>
          <w:tab w:val="clear" w:pos="7200"/>
          <w:tab w:val="clear" w:pos="7920"/>
          <w:tab w:val="clear" w:pos="8640"/>
          <w:tab w:val="clear" w:pos="9360"/>
        </w:tabs>
        <w:spacing w:after="0"/>
        <w:ind w:left="720" w:firstLine="0"/>
      </w:pPr>
      <w:r>
        <w:t>The plaintiff must prove that the defamatory statement concerned the plaintiff.</w:t>
      </w:r>
    </w:p>
    <w:p w14:paraId="7354AB31" w14:textId="77777777" w:rsidR="00654187" w:rsidRPr="00654187" w:rsidRDefault="00654187" w:rsidP="00654187">
      <w:pPr>
        <w:pStyle w:val="BodyTextIndent"/>
        <w:tabs>
          <w:tab w:val="clear" w:pos="-1080"/>
          <w:tab w:val="clear" w:pos="-720"/>
          <w:tab w:val="clear" w:pos="0"/>
          <w:tab w:val="clear" w:pos="81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ind w:left="720" w:firstLine="0"/>
      </w:pPr>
    </w:p>
    <w:p w14:paraId="0061E801" w14:textId="08E0D6D9" w:rsidR="008E1FB4" w:rsidRDefault="008E1FB4" w:rsidP="004F2155">
      <w:pPr>
        <w:widowControl/>
        <w:spacing w:line="480" w:lineRule="auto"/>
        <w:ind w:firstLine="720"/>
        <w:jc w:val="both"/>
        <w:rPr>
          <w:sz w:val="28"/>
        </w:rPr>
      </w:pPr>
      <w:r>
        <w:rPr>
          <w:sz w:val="28"/>
        </w:rPr>
        <w:t xml:space="preserve">The second element that plaintiff must prove </w:t>
      </w:r>
      <w:r w:rsidR="0080205A">
        <w:rPr>
          <w:sz w:val="28"/>
        </w:rPr>
        <w:t xml:space="preserve">by </w:t>
      </w:r>
      <w:r w:rsidR="00320C47">
        <w:rPr>
          <w:sz w:val="28"/>
        </w:rPr>
        <w:t>clear and convincing</w:t>
      </w:r>
      <w:r w:rsidR="0080205A">
        <w:rPr>
          <w:sz w:val="28"/>
        </w:rPr>
        <w:t xml:space="preserve"> evidence </w:t>
      </w:r>
      <w:r>
        <w:rPr>
          <w:sz w:val="28"/>
        </w:rPr>
        <w:t>is that the defamatory statement was read [</w:t>
      </w:r>
      <w:r w:rsidRPr="007E5C83">
        <w:rPr>
          <w:i/>
          <w:sz w:val="28"/>
        </w:rPr>
        <w:t>heard</w:t>
      </w:r>
      <w:r>
        <w:rPr>
          <w:sz w:val="28"/>
        </w:rPr>
        <w:t xml:space="preserve">] and understood by </w:t>
      </w:r>
      <w:r w:rsidR="003F63E0">
        <w:rPr>
          <w:sz w:val="28"/>
        </w:rPr>
        <w:t xml:space="preserve">at least one other </w:t>
      </w:r>
      <w:r>
        <w:rPr>
          <w:sz w:val="28"/>
        </w:rPr>
        <w:t xml:space="preserve">person to concern </w:t>
      </w:r>
      <w:r w:rsidR="003F63E0">
        <w:rPr>
          <w:sz w:val="28"/>
        </w:rPr>
        <w:t>[</w:t>
      </w:r>
      <w:r>
        <w:rPr>
          <w:sz w:val="28"/>
        </w:rPr>
        <w:t>plaintiff</w:t>
      </w:r>
      <w:r w:rsidR="003F63E0">
        <w:rPr>
          <w:sz w:val="28"/>
        </w:rPr>
        <w:t>]</w:t>
      </w:r>
      <w:r>
        <w:rPr>
          <w:sz w:val="28"/>
        </w:rPr>
        <w:t>.</w:t>
      </w:r>
      <w:r>
        <w:rPr>
          <w:rStyle w:val="FootnoteReference"/>
          <w:sz w:val="28"/>
          <w:szCs w:val="28"/>
          <w:vertAlign w:val="superscript"/>
        </w:rPr>
        <w:footnoteReference w:id="7"/>
      </w:r>
      <w:r>
        <w:rPr>
          <w:sz w:val="28"/>
        </w:rPr>
        <w:t xml:space="preserve">  The defamatory statement read [</w:t>
      </w:r>
      <w:r w:rsidRPr="007E5C83">
        <w:rPr>
          <w:i/>
          <w:sz w:val="28"/>
        </w:rPr>
        <w:t>heard</w:t>
      </w:r>
      <w:r>
        <w:rPr>
          <w:sz w:val="28"/>
        </w:rPr>
        <w:t xml:space="preserve">] </w:t>
      </w:r>
      <w:r>
        <w:rPr>
          <w:sz w:val="28"/>
        </w:rPr>
        <w:lastRenderedPageBreak/>
        <w:t xml:space="preserve">by </w:t>
      </w:r>
      <w:r w:rsidR="003F63E0">
        <w:rPr>
          <w:sz w:val="28"/>
        </w:rPr>
        <w:t xml:space="preserve">at least one </w:t>
      </w:r>
      <w:r>
        <w:rPr>
          <w:sz w:val="28"/>
        </w:rPr>
        <w:t xml:space="preserve">person other than </w:t>
      </w:r>
      <w:r w:rsidR="0080205A">
        <w:rPr>
          <w:sz w:val="28"/>
        </w:rPr>
        <w:t>[</w:t>
      </w:r>
      <w:r>
        <w:rPr>
          <w:sz w:val="28"/>
        </w:rPr>
        <w:t>plaintiff</w:t>
      </w:r>
      <w:r w:rsidR="0080205A">
        <w:rPr>
          <w:sz w:val="28"/>
        </w:rPr>
        <w:t>]</w:t>
      </w:r>
      <w:r>
        <w:rPr>
          <w:sz w:val="28"/>
        </w:rPr>
        <w:t xml:space="preserve"> was reasonably understood by them to refer to </w:t>
      </w:r>
      <w:r w:rsidR="0080205A">
        <w:rPr>
          <w:sz w:val="28"/>
        </w:rPr>
        <w:t>[</w:t>
      </w:r>
      <w:r>
        <w:rPr>
          <w:sz w:val="28"/>
        </w:rPr>
        <w:t>plaintiff</w:t>
      </w:r>
      <w:r w:rsidR="0080205A">
        <w:rPr>
          <w:sz w:val="28"/>
        </w:rPr>
        <w:t>]</w:t>
      </w:r>
      <w:r>
        <w:rPr>
          <w:sz w:val="28"/>
        </w:rPr>
        <w:t xml:space="preserve">.  The actual naming of </w:t>
      </w:r>
      <w:r w:rsidR="0080205A">
        <w:rPr>
          <w:sz w:val="28"/>
        </w:rPr>
        <w:t>[</w:t>
      </w:r>
      <w:r>
        <w:rPr>
          <w:sz w:val="28"/>
        </w:rPr>
        <w:t>plaintiff</w:t>
      </w:r>
      <w:r w:rsidR="0080205A">
        <w:rPr>
          <w:sz w:val="28"/>
        </w:rPr>
        <w:t>]</w:t>
      </w:r>
      <w:r>
        <w:rPr>
          <w:sz w:val="28"/>
        </w:rPr>
        <w:t xml:space="preserve"> is not necessary so long as those who read [</w:t>
      </w:r>
      <w:r w:rsidRPr="007E5C83">
        <w:rPr>
          <w:i/>
          <w:sz w:val="28"/>
        </w:rPr>
        <w:t>heard</w:t>
      </w:r>
      <w:r>
        <w:rPr>
          <w:sz w:val="28"/>
        </w:rPr>
        <w:t>] the statement understood th</w:t>
      </w:r>
      <w:r w:rsidR="0080205A">
        <w:rPr>
          <w:sz w:val="28"/>
        </w:rPr>
        <w:t>at</w:t>
      </w:r>
      <w:r>
        <w:rPr>
          <w:sz w:val="28"/>
        </w:rPr>
        <w:t xml:space="preserve"> </w:t>
      </w:r>
      <w:r w:rsidR="0080205A">
        <w:rPr>
          <w:sz w:val="28"/>
        </w:rPr>
        <w:t>[</w:t>
      </w:r>
      <w:r>
        <w:rPr>
          <w:sz w:val="28"/>
        </w:rPr>
        <w:t>plaintiff</w:t>
      </w:r>
      <w:r w:rsidR="0080205A">
        <w:rPr>
          <w:sz w:val="28"/>
        </w:rPr>
        <w:t>]</w:t>
      </w:r>
      <w:r>
        <w:rPr>
          <w:sz w:val="28"/>
        </w:rPr>
        <w:t xml:space="preserve"> was the subject of the statement.  </w:t>
      </w:r>
      <w:r w:rsidR="0080205A">
        <w:rPr>
          <w:sz w:val="28"/>
        </w:rPr>
        <w:t xml:space="preserve">You are not to decide </w:t>
      </w:r>
      <w:r>
        <w:rPr>
          <w:sz w:val="28"/>
        </w:rPr>
        <w:t xml:space="preserve">whether </w:t>
      </w:r>
      <w:r w:rsidR="0080205A">
        <w:rPr>
          <w:sz w:val="28"/>
        </w:rPr>
        <w:t>[</w:t>
      </w:r>
      <w:r>
        <w:rPr>
          <w:sz w:val="28"/>
        </w:rPr>
        <w:t>defendant</w:t>
      </w:r>
      <w:r w:rsidR="0080205A">
        <w:rPr>
          <w:sz w:val="28"/>
        </w:rPr>
        <w:t>]</w:t>
      </w:r>
      <w:r>
        <w:rPr>
          <w:sz w:val="28"/>
        </w:rPr>
        <w:t xml:space="preserve"> intended the statement to refer to </w:t>
      </w:r>
      <w:r w:rsidR="0080205A">
        <w:rPr>
          <w:sz w:val="28"/>
        </w:rPr>
        <w:t>[</w:t>
      </w:r>
      <w:r>
        <w:rPr>
          <w:sz w:val="28"/>
        </w:rPr>
        <w:t>plaintiff</w:t>
      </w:r>
      <w:r w:rsidR="0080205A">
        <w:rPr>
          <w:sz w:val="28"/>
        </w:rPr>
        <w:t>]</w:t>
      </w:r>
      <w:r>
        <w:rPr>
          <w:sz w:val="28"/>
        </w:rPr>
        <w:t>; the issue is whether those persons reading [</w:t>
      </w:r>
      <w:r w:rsidRPr="007E5C83">
        <w:rPr>
          <w:i/>
          <w:sz w:val="28"/>
        </w:rPr>
        <w:t>hearing</w:t>
      </w:r>
      <w:r>
        <w:rPr>
          <w:sz w:val="28"/>
        </w:rPr>
        <w:t xml:space="preserve">] the statement reasonably understood the statement to refer to </w:t>
      </w:r>
      <w:r w:rsidR="0080205A">
        <w:rPr>
          <w:sz w:val="28"/>
        </w:rPr>
        <w:t>[</w:t>
      </w:r>
      <w:r>
        <w:rPr>
          <w:sz w:val="28"/>
        </w:rPr>
        <w:t>plaintiff</w:t>
      </w:r>
      <w:r w:rsidR="0080205A">
        <w:rPr>
          <w:sz w:val="28"/>
        </w:rPr>
        <w:t>]</w:t>
      </w:r>
      <w:r>
        <w:rPr>
          <w:sz w:val="28"/>
        </w:rPr>
        <w:t>.</w:t>
      </w:r>
    </w:p>
    <w:p w14:paraId="470E2BBB" w14:textId="2A1DE3EB" w:rsidR="008E1FB4" w:rsidRDefault="008E1FB4" w:rsidP="00157D14">
      <w:pPr>
        <w:widowControl/>
        <w:ind w:left="1440" w:hanging="720"/>
        <w:jc w:val="both"/>
        <w:rPr>
          <w:b/>
          <w:bCs/>
          <w:sz w:val="28"/>
        </w:rPr>
      </w:pPr>
      <w:r>
        <w:rPr>
          <w:b/>
          <w:bCs/>
          <w:sz w:val="28"/>
        </w:rPr>
        <w:t>c.</w:t>
      </w:r>
      <w:r>
        <w:rPr>
          <w:b/>
          <w:bCs/>
          <w:sz w:val="28"/>
        </w:rPr>
        <w:tab/>
        <w:t>Plaintiff must prove that the defamatory statement is false.</w:t>
      </w:r>
    </w:p>
    <w:p w14:paraId="57BD794C" w14:textId="77777777" w:rsidR="00E91BD6" w:rsidRDefault="00E91BD6" w:rsidP="00E91BD6">
      <w:pPr>
        <w:widowControl/>
        <w:ind w:left="1440" w:hanging="720"/>
        <w:jc w:val="both"/>
        <w:rPr>
          <w:b/>
          <w:bCs/>
          <w:sz w:val="28"/>
        </w:rPr>
      </w:pPr>
    </w:p>
    <w:p w14:paraId="5DA081A2" w14:textId="570607EF" w:rsidR="00B63387" w:rsidRDefault="008E1FB4" w:rsidP="00E91BD6">
      <w:pPr>
        <w:widowControl/>
        <w:spacing w:line="480" w:lineRule="auto"/>
        <w:ind w:firstLine="720"/>
        <w:jc w:val="both"/>
        <w:rPr>
          <w:sz w:val="28"/>
        </w:rPr>
      </w:pPr>
      <w:r>
        <w:rPr>
          <w:sz w:val="28"/>
        </w:rPr>
        <w:t xml:space="preserve">The third element that </w:t>
      </w:r>
      <w:r w:rsidR="0080205A">
        <w:rPr>
          <w:sz w:val="28"/>
        </w:rPr>
        <w:t>[</w:t>
      </w:r>
      <w:r>
        <w:rPr>
          <w:sz w:val="28"/>
        </w:rPr>
        <w:t>plaintiff</w:t>
      </w:r>
      <w:r w:rsidR="0080205A">
        <w:rPr>
          <w:sz w:val="28"/>
        </w:rPr>
        <w:t>]</w:t>
      </w:r>
      <w:r>
        <w:rPr>
          <w:sz w:val="28"/>
        </w:rPr>
        <w:t xml:space="preserve"> must prove </w:t>
      </w:r>
      <w:r w:rsidR="0080205A">
        <w:rPr>
          <w:sz w:val="28"/>
        </w:rPr>
        <w:t xml:space="preserve">by </w:t>
      </w:r>
      <w:r w:rsidR="00320C47">
        <w:rPr>
          <w:sz w:val="28"/>
        </w:rPr>
        <w:t>clear and convincing</w:t>
      </w:r>
      <w:r w:rsidR="0080205A">
        <w:rPr>
          <w:sz w:val="28"/>
        </w:rPr>
        <w:t xml:space="preserve"> evidence </w:t>
      </w:r>
      <w:r>
        <w:rPr>
          <w:sz w:val="28"/>
        </w:rPr>
        <w:t>is that the defamatory statement was false.</w:t>
      </w:r>
      <w:r>
        <w:rPr>
          <w:rStyle w:val="FootnoteReference"/>
          <w:sz w:val="28"/>
          <w:vertAlign w:val="superscript"/>
        </w:rPr>
        <w:footnoteReference w:id="8"/>
      </w:r>
      <w:r w:rsidR="0080205A">
        <w:rPr>
          <w:sz w:val="28"/>
        </w:rPr>
        <w:t xml:space="preserve">  Here, [</w:t>
      </w:r>
      <w:r>
        <w:rPr>
          <w:sz w:val="28"/>
        </w:rPr>
        <w:t>plaintiff</w:t>
      </w:r>
      <w:r w:rsidR="0080205A">
        <w:rPr>
          <w:sz w:val="28"/>
        </w:rPr>
        <w:t>]</w:t>
      </w:r>
      <w:r>
        <w:rPr>
          <w:sz w:val="28"/>
        </w:rPr>
        <w:t xml:space="preserve"> contends the defamatory statement is false</w:t>
      </w:r>
      <w:r w:rsidR="0080205A">
        <w:rPr>
          <w:sz w:val="28"/>
        </w:rPr>
        <w:t>; [d</w:t>
      </w:r>
      <w:r>
        <w:rPr>
          <w:sz w:val="28"/>
        </w:rPr>
        <w:t>efendant</w:t>
      </w:r>
      <w:r w:rsidR="0080205A">
        <w:rPr>
          <w:sz w:val="28"/>
        </w:rPr>
        <w:t>]</w:t>
      </w:r>
      <w:r>
        <w:rPr>
          <w:sz w:val="28"/>
        </w:rPr>
        <w:t xml:space="preserve"> denies that the statement is false. </w:t>
      </w:r>
      <w:r w:rsidR="0080205A">
        <w:rPr>
          <w:sz w:val="28"/>
        </w:rPr>
        <w:t xml:space="preserve">You must </w:t>
      </w:r>
      <w:r>
        <w:rPr>
          <w:sz w:val="28"/>
        </w:rPr>
        <w:t>determine if the statement is true or false.</w:t>
      </w:r>
      <w:r w:rsidR="0080205A">
        <w:rPr>
          <w:sz w:val="28"/>
        </w:rPr>
        <w:t xml:space="preserve">  In this regard, </w:t>
      </w:r>
      <w:r>
        <w:rPr>
          <w:sz w:val="28"/>
        </w:rPr>
        <w:t xml:space="preserve">it is not necessary for you to find the statement true or false in every detail.  It is enough if the </w:t>
      </w:r>
      <w:r w:rsidR="00905693">
        <w:rPr>
          <w:sz w:val="28"/>
        </w:rPr>
        <w:t xml:space="preserve">defamatory gist or sting of the </w:t>
      </w:r>
      <w:r>
        <w:rPr>
          <w:sz w:val="28"/>
        </w:rPr>
        <w:t>statement is substantially true or substantially false.</w:t>
      </w:r>
      <w:r w:rsidR="00905693">
        <w:rPr>
          <w:sz w:val="28"/>
        </w:rPr>
        <w:t xml:space="preserve"> </w:t>
      </w:r>
      <w:r w:rsidR="008525DA">
        <w:rPr>
          <w:sz w:val="28"/>
        </w:rPr>
        <w:t xml:space="preserve"> </w:t>
      </w:r>
      <w:r>
        <w:rPr>
          <w:sz w:val="28"/>
        </w:rPr>
        <w:t xml:space="preserve">In </w:t>
      </w:r>
      <w:r>
        <w:rPr>
          <w:sz w:val="28"/>
        </w:rPr>
        <w:lastRenderedPageBreak/>
        <w:t xml:space="preserve">determining the truth or falsity of the statement, you </w:t>
      </w:r>
      <w:r w:rsidR="00905693">
        <w:rPr>
          <w:sz w:val="28"/>
        </w:rPr>
        <w:t xml:space="preserve">must </w:t>
      </w:r>
      <w:r>
        <w:rPr>
          <w:sz w:val="28"/>
        </w:rPr>
        <w:t xml:space="preserve">consider the entire context </w:t>
      </w:r>
      <w:r w:rsidR="00905693">
        <w:rPr>
          <w:sz w:val="28"/>
        </w:rPr>
        <w:t xml:space="preserve">of </w:t>
      </w:r>
      <w:r>
        <w:rPr>
          <w:sz w:val="28"/>
        </w:rPr>
        <w:t>the statement</w:t>
      </w:r>
      <w:r w:rsidR="00905693">
        <w:rPr>
          <w:sz w:val="28"/>
        </w:rPr>
        <w:t xml:space="preserve">; </w:t>
      </w:r>
      <w:r>
        <w:rPr>
          <w:sz w:val="28"/>
        </w:rPr>
        <w:t>words or phrases must not be isolated or taken out of context.</w:t>
      </w:r>
    </w:p>
    <w:p w14:paraId="719A1EBB" w14:textId="29AB2658" w:rsidR="008E1FB4" w:rsidRDefault="008E1FB4" w:rsidP="00E91BD6">
      <w:pPr>
        <w:pStyle w:val="BodyTextIndent"/>
        <w:numPr>
          <w:ilvl w:val="0"/>
          <w:numId w:val="6"/>
        </w:numPr>
        <w:tabs>
          <w:tab w:val="clear" w:pos="-1080"/>
          <w:tab w:val="clear" w:pos="-720"/>
          <w:tab w:val="clear" w:pos="0"/>
          <w:tab w:val="clear" w:pos="81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s>
        <w:spacing w:after="0"/>
        <w:ind w:left="1440" w:hanging="720"/>
        <w:rPr>
          <w:szCs w:val="24"/>
        </w:rPr>
      </w:pPr>
      <w:r>
        <w:rPr>
          <w:szCs w:val="24"/>
        </w:rPr>
        <w:t xml:space="preserve">Plaintiff must prove that the defamatory statement was communicated to a person or persons other than the plaintiff.  </w:t>
      </w:r>
    </w:p>
    <w:p w14:paraId="25EAC694" w14:textId="77777777" w:rsidR="00E91BD6" w:rsidRPr="00905693" w:rsidRDefault="00E91BD6" w:rsidP="00E91BD6">
      <w:pPr>
        <w:pStyle w:val="BodyTextIndent"/>
        <w:tabs>
          <w:tab w:val="clear" w:pos="-1080"/>
          <w:tab w:val="clear" w:pos="-720"/>
          <w:tab w:val="clear" w:pos="0"/>
          <w:tab w:val="clear" w:pos="81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ind w:left="1440" w:firstLine="0"/>
        <w:rPr>
          <w:szCs w:val="24"/>
        </w:rPr>
      </w:pPr>
    </w:p>
    <w:p w14:paraId="4099E7F1" w14:textId="03FAEE2E" w:rsidR="008E1FB4" w:rsidRPr="00905693" w:rsidRDefault="008E1FB4" w:rsidP="00E91BD6">
      <w:pPr>
        <w:pStyle w:val="BodyTextIndent"/>
        <w:tabs>
          <w:tab w:val="clear" w:pos="-1080"/>
          <w:tab w:val="clear" w:pos="-720"/>
          <w:tab w:val="clear" w:pos="0"/>
          <w:tab w:val="clear" w:pos="81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480" w:lineRule="auto"/>
        <w:ind w:left="0" w:firstLine="0"/>
        <w:rPr>
          <w:b w:val="0"/>
        </w:rPr>
      </w:pPr>
      <w:r>
        <w:tab/>
      </w:r>
      <w:r w:rsidRPr="00905693">
        <w:rPr>
          <w:b w:val="0"/>
        </w:rPr>
        <w:t xml:space="preserve">The fourth element </w:t>
      </w:r>
      <w:r w:rsidR="00905693" w:rsidRPr="00905693">
        <w:rPr>
          <w:b w:val="0"/>
        </w:rPr>
        <w:t>[</w:t>
      </w:r>
      <w:r w:rsidRPr="00905693">
        <w:rPr>
          <w:b w:val="0"/>
        </w:rPr>
        <w:t>plaintiff</w:t>
      </w:r>
      <w:r w:rsidR="00905693" w:rsidRPr="00905693">
        <w:rPr>
          <w:b w:val="0"/>
        </w:rPr>
        <w:t>]</w:t>
      </w:r>
      <w:r w:rsidRPr="00905693">
        <w:rPr>
          <w:b w:val="0"/>
        </w:rPr>
        <w:t xml:space="preserve"> must prove </w:t>
      </w:r>
      <w:r w:rsidR="00905693" w:rsidRPr="00905693">
        <w:rPr>
          <w:b w:val="0"/>
        </w:rPr>
        <w:t xml:space="preserve">by </w:t>
      </w:r>
      <w:r w:rsidR="00320C47">
        <w:rPr>
          <w:b w:val="0"/>
        </w:rPr>
        <w:t>clear and convincing</w:t>
      </w:r>
      <w:r w:rsidR="00905693" w:rsidRPr="00905693">
        <w:rPr>
          <w:b w:val="0"/>
        </w:rPr>
        <w:t xml:space="preserve"> evidence </w:t>
      </w:r>
      <w:r w:rsidRPr="00905693">
        <w:rPr>
          <w:b w:val="0"/>
        </w:rPr>
        <w:t>is that the defamatory statement was communicated, orally or in writing, to a</w:t>
      </w:r>
      <w:r w:rsidR="00905693" w:rsidRPr="00905693">
        <w:rPr>
          <w:b w:val="0"/>
        </w:rPr>
        <w:t xml:space="preserve">t least one </w:t>
      </w:r>
      <w:r w:rsidRPr="00905693">
        <w:rPr>
          <w:b w:val="0"/>
        </w:rPr>
        <w:t xml:space="preserve">person other than </w:t>
      </w:r>
      <w:r w:rsidR="00905693" w:rsidRPr="00905693">
        <w:rPr>
          <w:b w:val="0"/>
        </w:rPr>
        <w:t>[</w:t>
      </w:r>
      <w:r w:rsidRPr="00905693">
        <w:rPr>
          <w:b w:val="0"/>
        </w:rPr>
        <w:t>plaintiff</w:t>
      </w:r>
      <w:r w:rsidR="00905693" w:rsidRPr="00905693">
        <w:rPr>
          <w:b w:val="0"/>
        </w:rPr>
        <w:t>]</w:t>
      </w:r>
      <w:r w:rsidRPr="00905693">
        <w:rPr>
          <w:b w:val="0"/>
        </w:rPr>
        <w:t>.</w:t>
      </w:r>
      <w:r w:rsidRPr="00905693">
        <w:rPr>
          <w:rStyle w:val="FootnoteReference"/>
          <w:b w:val="0"/>
          <w:bCs w:val="0"/>
          <w:vertAlign w:val="superscript"/>
        </w:rPr>
        <w:footnoteReference w:id="9"/>
      </w:r>
      <w:r w:rsidR="00905693" w:rsidRPr="00905693">
        <w:rPr>
          <w:b w:val="0"/>
        </w:rPr>
        <w:t xml:space="preserve">  Therefore, it </w:t>
      </w:r>
      <w:r w:rsidRPr="00905693">
        <w:rPr>
          <w:b w:val="0"/>
        </w:rPr>
        <w:t xml:space="preserve">is not necessary that the defamatory statement be communicated to a large or substantial group.  It is enough that it is communicated to a single </w:t>
      </w:r>
      <w:r w:rsidR="00905693">
        <w:rPr>
          <w:b w:val="0"/>
        </w:rPr>
        <w:t xml:space="preserve">person </w:t>
      </w:r>
      <w:r w:rsidRPr="00905693">
        <w:rPr>
          <w:b w:val="0"/>
        </w:rPr>
        <w:t xml:space="preserve">other than </w:t>
      </w:r>
      <w:r w:rsidR="00905693">
        <w:rPr>
          <w:b w:val="0"/>
        </w:rPr>
        <w:t>[</w:t>
      </w:r>
      <w:r w:rsidRPr="00905693">
        <w:rPr>
          <w:b w:val="0"/>
        </w:rPr>
        <w:t>plaintiff</w:t>
      </w:r>
      <w:r w:rsidR="00905693">
        <w:rPr>
          <w:b w:val="0"/>
        </w:rPr>
        <w:t xml:space="preserve">], so long as that recipient </w:t>
      </w:r>
      <w:r w:rsidRPr="00905693">
        <w:rPr>
          <w:b w:val="0"/>
        </w:rPr>
        <w:t>understood the statement in its defamatory sense.</w:t>
      </w:r>
      <w:r w:rsidRPr="00905693">
        <w:rPr>
          <w:rStyle w:val="FootnoteReference"/>
          <w:b w:val="0"/>
          <w:vertAlign w:val="superscript"/>
        </w:rPr>
        <w:footnoteReference w:id="10"/>
      </w:r>
    </w:p>
    <w:p w14:paraId="6B63D3B4" w14:textId="7C93A39C" w:rsidR="008E1FB4" w:rsidRDefault="008E1FB4" w:rsidP="00E91BD6">
      <w:pPr>
        <w:pStyle w:val="BodyTextIndent"/>
        <w:numPr>
          <w:ilvl w:val="0"/>
          <w:numId w:val="4"/>
        </w:numPr>
        <w:tabs>
          <w:tab w:val="clear" w:pos="-1080"/>
          <w:tab w:val="clear" w:pos="-720"/>
          <w:tab w:val="clear" w:pos="0"/>
          <w:tab w:val="clear" w:pos="81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s>
        <w:spacing w:after="0"/>
        <w:ind w:left="1440" w:hanging="720"/>
        <w:rPr>
          <w:szCs w:val="24"/>
        </w:rPr>
      </w:pPr>
      <w:r>
        <w:rPr>
          <w:szCs w:val="24"/>
        </w:rPr>
        <w:t>Plaintiff must prove that defendant communicated the false statement to others with the actual knowledge that it was false or with a reckless disregard of whether it was true or false.</w:t>
      </w:r>
    </w:p>
    <w:p w14:paraId="46F8A224" w14:textId="77777777" w:rsidR="00E91BD6" w:rsidRDefault="00E91BD6" w:rsidP="00E91BD6">
      <w:pPr>
        <w:pStyle w:val="BodyTextIndent"/>
        <w:tabs>
          <w:tab w:val="clear" w:pos="-1080"/>
          <w:tab w:val="clear" w:pos="-720"/>
          <w:tab w:val="clear" w:pos="0"/>
          <w:tab w:val="clear" w:pos="81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ind w:left="1440" w:firstLine="0"/>
        <w:rPr>
          <w:szCs w:val="24"/>
        </w:rPr>
      </w:pPr>
    </w:p>
    <w:p w14:paraId="6FBD8158" w14:textId="211FA6D1" w:rsidR="008E1FB4" w:rsidRDefault="008E1FB4" w:rsidP="00E91BD6">
      <w:pPr>
        <w:pStyle w:val="BodyTextIndent2"/>
        <w:tabs>
          <w:tab w:val="clear" w:pos="-1080"/>
          <w:tab w:val="clear" w:pos="-720"/>
          <w:tab w:val="clear" w:pos="0"/>
          <w:tab w:val="clear" w:pos="81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ind w:firstLine="720"/>
      </w:pPr>
      <w:r>
        <w:t xml:space="preserve">The fifth element plaintiff must prove </w:t>
      </w:r>
      <w:r w:rsidR="00905693">
        <w:t xml:space="preserve">by </w:t>
      </w:r>
      <w:r w:rsidR="00FC41EF">
        <w:t xml:space="preserve">clear and </w:t>
      </w:r>
      <w:r w:rsidR="00320C47">
        <w:t>convincing</w:t>
      </w:r>
      <w:r w:rsidR="00FC41EF">
        <w:t xml:space="preserve"> evidence </w:t>
      </w:r>
      <w:r>
        <w:t xml:space="preserve">is that </w:t>
      </w:r>
      <w:r w:rsidR="00FC41EF">
        <w:t>defendant acted with actual malice when communicating the statement</w:t>
      </w:r>
      <w:r>
        <w:t xml:space="preserve"> to </w:t>
      </w:r>
      <w:r w:rsidR="00905693">
        <w:t>at least one other person</w:t>
      </w:r>
      <w:r w:rsidR="00FC41EF">
        <w:t>.  Actual malice exists if</w:t>
      </w:r>
      <w:r>
        <w:t xml:space="preserve"> </w:t>
      </w:r>
      <w:r w:rsidR="00905693">
        <w:t>[</w:t>
      </w:r>
      <w:r>
        <w:t>defendant</w:t>
      </w:r>
      <w:r w:rsidR="00905693">
        <w:t>]</w:t>
      </w:r>
      <w:r>
        <w:t xml:space="preserve"> knew that the statement was </w:t>
      </w:r>
      <w:r>
        <w:lastRenderedPageBreak/>
        <w:t>false or acted in reckless disregard of whether it was true or false.</w:t>
      </w:r>
      <w:r>
        <w:rPr>
          <w:rStyle w:val="FootnoteReference"/>
          <w:vertAlign w:val="superscript"/>
        </w:rPr>
        <w:footnoteReference w:id="11"/>
      </w:r>
      <w:r w:rsidR="00905693">
        <w:t xml:space="preserve">   </w:t>
      </w:r>
      <w:r>
        <w:t xml:space="preserve">This means that </w:t>
      </w:r>
      <w:r w:rsidR="00905693">
        <w:t>[</w:t>
      </w:r>
      <w:r>
        <w:t>defendant</w:t>
      </w:r>
      <w:r w:rsidR="00905693">
        <w:t>]</w:t>
      </w:r>
      <w:r>
        <w:t xml:space="preserve"> must have actually known that the defamatory statement regarding </w:t>
      </w:r>
      <w:r w:rsidR="00905693">
        <w:t>[</w:t>
      </w:r>
      <w:r>
        <w:t>plaintiff</w:t>
      </w:r>
      <w:r w:rsidR="00905693">
        <w:t>]</w:t>
      </w:r>
      <w:r>
        <w:t xml:space="preserve"> was false when </w:t>
      </w:r>
      <w:r w:rsidR="008525DA">
        <w:t>[defendant]</w:t>
      </w:r>
      <w:r>
        <w:t xml:space="preserve"> communicated it, or that </w:t>
      </w:r>
      <w:r w:rsidR="00905693">
        <w:t>[</w:t>
      </w:r>
      <w:r>
        <w:t>defendant</w:t>
      </w:r>
      <w:r w:rsidR="00905693">
        <w:t>]</w:t>
      </w:r>
      <w:r>
        <w:t xml:space="preserve"> communicated the defamatory statement with a high degree of awareness that it was probably false, or that </w:t>
      </w:r>
      <w:r w:rsidR="00905693">
        <w:t>[</w:t>
      </w:r>
      <w:r>
        <w:t>defendant</w:t>
      </w:r>
      <w:r w:rsidR="00905693">
        <w:t>]</w:t>
      </w:r>
      <w:r>
        <w:t xml:space="preserve"> truly had serious doubts as to the truth of the defamatory statement when </w:t>
      </w:r>
      <w:r w:rsidR="008525DA">
        <w:t>[defendant]</w:t>
      </w:r>
      <w:r>
        <w:t xml:space="preserve"> communicated it. </w:t>
      </w:r>
    </w:p>
    <w:p w14:paraId="54180EF8" w14:textId="77777777" w:rsidR="008E1FB4" w:rsidRDefault="008E1FB4" w:rsidP="00BB245A">
      <w:pPr>
        <w:widowControl/>
        <w:spacing w:line="480" w:lineRule="auto"/>
        <w:ind w:left="720" w:hanging="720"/>
        <w:jc w:val="both"/>
        <w:rPr>
          <w:sz w:val="28"/>
        </w:rPr>
      </w:pPr>
      <w:r>
        <w:rPr>
          <w:b/>
          <w:bCs/>
          <w:sz w:val="28"/>
        </w:rPr>
        <w:t>3.</w:t>
      </w:r>
      <w:r>
        <w:rPr>
          <w:b/>
          <w:bCs/>
          <w:sz w:val="28"/>
        </w:rPr>
        <w:tab/>
        <w:t>Burden of Proof</w:t>
      </w:r>
    </w:p>
    <w:p w14:paraId="3A031FA1" w14:textId="24DB8AB5" w:rsidR="008E1FB4" w:rsidRDefault="00E91BD6" w:rsidP="00BB245A">
      <w:pPr>
        <w:widowControl/>
        <w:spacing w:line="480" w:lineRule="auto"/>
        <w:ind w:firstLine="720"/>
        <w:jc w:val="both"/>
        <w:rPr>
          <w:sz w:val="28"/>
        </w:rPr>
      </w:pPr>
      <w:r>
        <w:rPr>
          <w:sz w:val="28"/>
        </w:rPr>
        <w:t xml:space="preserve">As noted before, </w:t>
      </w:r>
      <w:r w:rsidR="00905693">
        <w:rPr>
          <w:sz w:val="28"/>
        </w:rPr>
        <w:t>[P</w:t>
      </w:r>
      <w:r w:rsidR="008E1FB4">
        <w:rPr>
          <w:sz w:val="28"/>
        </w:rPr>
        <w:t>laintiff</w:t>
      </w:r>
      <w:r w:rsidR="00905693">
        <w:rPr>
          <w:sz w:val="28"/>
        </w:rPr>
        <w:t>]</w:t>
      </w:r>
      <w:r w:rsidR="008E1FB4">
        <w:rPr>
          <w:sz w:val="28"/>
        </w:rPr>
        <w:t xml:space="preserve"> must prove each of the five elements I have just explained to you by clear and convincing evidence.</w:t>
      </w:r>
      <w:r w:rsidR="00905693">
        <w:rPr>
          <w:sz w:val="28"/>
        </w:rPr>
        <w:t xml:space="preserve">  </w:t>
      </w:r>
      <w:r w:rsidR="008E1FB4">
        <w:rPr>
          <w:sz w:val="28"/>
        </w:rPr>
        <w:t xml:space="preserve">Clear and convincing evidence means that proofs should produce in </w:t>
      </w:r>
      <w:r w:rsidR="00905693">
        <w:rPr>
          <w:sz w:val="28"/>
        </w:rPr>
        <w:t xml:space="preserve">your </w:t>
      </w:r>
      <w:r w:rsidR="008E1FB4">
        <w:rPr>
          <w:sz w:val="28"/>
        </w:rPr>
        <w:t>mind</w:t>
      </w:r>
      <w:r w:rsidR="00905693">
        <w:rPr>
          <w:sz w:val="28"/>
        </w:rPr>
        <w:t>s</w:t>
      </w:r>
      <w:r w:rsidR="008E1FB4">
        <w:rPr>
          <w:sz w:val="28"/>
        </w:rPr>
        <w:t xml:space="preserve"> a firm belief or conviction as to the truth of the </w:t>
      </w:r>
      <w:r w:rsidR="00E40474">
        <w:rPr>
          <w:sz w:val="28"/>
        </w:rPr>
        <w:t>claims made by [</w:t>
      </w:r>
      <w:r w:rsidR="008E1FB4">
        <w:rPr>
          <w:sz w:val="28"/>
        </w:rPr>
        <w:t>plaintiff</w:t>
      </w:r>
      <w:r w:rsidR="00E40474">
        <w:rPr>
          <w:sz w:val="28"/>
        </w:rPr>
        <w:t>]</w:t>
      </w:r>
      <w:r w:rsidR="008E1FB4">
        <w:rPr>
          <w:sz w:val="28"/>
        </w:rPr>
        <w:t xml:space="preserve">.  The evidence must be </w:t>
      </w:r>
      <w:r w:rsidR="007E0103">
        <w:rPr>
          <w:sz w:val="28"/>
        </w:rPr>
        <w:t>as</w:t>
      </w:r>
      <w:r w:rsidR="008E1FB4">
        <w:rPr>
          <w:sz w:val="28"/>
        </w:rPr>
        <w:t xml:space="preserve"> clear, </w:t>
      </w:r>
      <w:proofErr w:type="gramStart"/>
      <w:r w:rsidR="008E1FB4">
        <w:rPr>
          <w:sz w:val="28"/>
        </w:rPr>
        <w:t>direct</w:t>
      </w:r>
      <w:proofErr w:type="gramEnd"/>
      <w:r w:rsidR="008E1FB4">
        <w:rPr>
          <w:sz w:val="28"/>
        </w:rPr>
        <w:t xml:space="preserve"> and weighty and convincing as to enable a jury to come to a clear conviction, without hesitancy, of the truth of precise facts in issue.</w:t>
      </w:r>
      <w:r w:rsidR="008E1FB4">
        <w:rPr>
          <w:rStyle w:val="FootnoteReference"/>
          <w:sz w:val="28"/>
          <w:vertAlign w:val="superscript"/>
        </w:rPr>
        <w:footnoteReference w:id="12"/>
      </w:r>
      <w:r w:rsidR="008E1FB4">
        <w:rPr>
          <w:sz w:val="28"/>
        </w:rPr>
        <w:t xml:space="preserve">  </w:t>
      </w:r>
      <w:r w:rsidR="00E40474">
        <w:rPr>
          <w:sz w:val="28"/>
        </w:rPr>
        <w:t>C</w:t>
      </w:r>
      <w:r w:rsidR="008E1FB4">
        <w:rPr>
          <w:sz w:val="28"/>
        </w:rPr>
        <w:t xml:space="preserve">lear and convincing </w:t>
      </w:r>
      <w:r w:rsidR="00E40474">
        <w:rPr>
          <w:sz w:val="28"/>
        </w:rPr>
        <w:t xml:space="preserve">is a </w:t>
      </w:r>
      <w:r w:rsidR="008E1FB4">
        <w:rPr>
          <w:sz w:val="28"/>
        </w:rPr>
        <w:t xml:space="preserve">standard of proof </w:t>
      </w:r>
      <w:r w:rsidR="00E40474">
        <w:rPr>
          <w:sz w:val="28"/>
        </w:rPr>
        <w:t xml:space="preserve">which </w:t>
      </w:r>
      <w:r w:rsidR="008E1FB4">
        <w:rPr>
          <w:sz w:val="28"/>
        </w:rPr>
        <w:t xml:space="preserve">requires more than a mere balancing of doubts or probabilities.  It </w:t>
      </w:r>
      <w:r w:rsidR="008E1FB4">
        <w:rPr>
          <w:sz w:val="28"/>
        </w:rPr>
        <w:lastRenderedPageBreak/>
        <w:t>requires clear evidence which causes you to be convinced that the allegations sought to be proved are true.</w:t>
      </w:r>
    </w:p>
    <w:p w14:paraId="24E12DAB" w14:textId="3A6A8DF2" w:rsidR="008E1FB4" w:rsidRDefault="008E1FB4" w:rsidP="00BB245A">
      <w:pPr>
        <w:pStyle w:val="BodyTextIndent2"/>
        <w:tabs>
          <w:tab w:val="clear" w:pos="-1080"/>
          <w:tab w:val="clear" w:pos="-720"/>
          <w:tab w:val="clear" w:pos="0"/>
          <w:tab w:val="clear" w:pos="81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rPr>
          <w:sz w:val="24"/>
          <w:szCs w:val="28"/>
        </w:rPr>
      </w:pPr>
      <w:r>
        <w:t xml:space="preserve">If </w:t>
      </w:r>
      <w:r w:rsidR="00E40474">
        <w:t>[</w:t>
      </w:r>
      <w:r>
        <w:t>plaintiff</w:t>
      </w:r>
      <w:r w:rsidR="00E40474">
        <w:t>]</w:t>
      </w:r>
      <w:r>
        <w:t xml:space="preserve"> prove</w:t>
      </w:r>
      <w:r w:rsidR="00E40474">
        <w:t>d</w:t>
      </w:r>
      <w:r>
        <w:t xml:space="preserve"> each of the five elements I have </w:t>
      </w:r>
      <w:r w:rsidR="00E40474">
        <w:t>outlined</w:t>
      </w:r>
      <w:r>
        <w:t xml:space="preserve"> by clear and convincing evidence, </w:t>
      </w:r>
      <w:r w:rsidR="00E40474">
        <w:t>[</w:t>
      </w:r>
      <w:r>
        <w:t>plaintiff</w:t>
      </w:r>
      <w:r w:rsidR="00E40474">
        <w:t>]</w:t>
      </w:r>
      <w:r>
        <w:t xml:space="preserve"> has met </w:t>
      </w:r>
      <w:r w:rsidR="008525DA">
        <w:t>[plaintiff’s]</w:t>
      </w:r>
      <w:r>
        <w:t xml:space="preserve"> burden of proof and is entitled to </w:t>
      </w:r>
      <w:r w:rsidR="00E40474">
        <w:t>your verdict</w:t>
      </w:r>
      <w:r>
        <w:t xml:space="preserve">.  If, however, </w:t>
      </w:r>
      <w:r w:rsidR="00E40474">
        <w:t>[</w:t>
      </w:r>
      <w:r>
        <w:t>plaintiff</w:t>
      </w:r>
      <w:r w:rsidR="00E40474">
        <w:t>]</w:t>
      </w:r>
      <w:r>
        <w:t xml:space="preserve"> has failed to prove by clear and convincing evidence any of the</w:t>
      </w:r>
      <w:r w:rsidR="00E40474">
        <w:t>se</w:t>
      </w:r>
      <w:r>
        <w:t xml:space="preserve"> elements, you must return a verdict </w:t>
      </w:r>
      <w:r w:rsidR="00E40474">
        <w:t>for [</w:t>
      </w:r>
      <w:r>
        <w:t>defendant</w:t>
      </w:r>
      <w:r w:rsidR="00E40474">
        <w:t>]</w:t>
      </w:r>
      <w:r>
        <w:t>.</w:t>
      </w:r>
    </w:p>
    <w:sectPr w:rsidR="008E1FB4" w:rsidSect="00157D14">
      <w:headerReference w:type="even" r:id="rId8"/>
      <w:headerReference w:type="default" r:id="rId9"/>
      <w:footerReference w:type="even" r:id="rId10"/>
      <w:endnotePr>
        <w:numFmt w:val="decimal"/>
      </w:endnotePr>
      <w:type w:val="continuous"/>
      <w:pgSz w:w="12240" w:h="15840" w:code="1"/>
      <w:pgMar w:top="1440" w:right="1440" w:bottom="1440" w:left="144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9AC32" w14:textId="77777777" w:rsidR="00325DC5" w:rsidRDefault="00325DC5">
      <w:r>
        <w:separator/>
      </w:r>
    </w:p>
  </w:endnote>
  <w:endnote w:type="continuationSeparator" w:id="0">
    <w:p w14:paraId="3BD74492" w14:textId="77777777" w:rsidR="00325DC5" w:rsidRDefault="0032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B9C9" w14:textId="77777777" w:rsidR="00014598" w:rsidRDefault="00014598">
    <w:pPr>
      <w:pStyle w:val="Footer"/>
      <w:rPr>
        <w:b/>
        <w:bCs/>
        <w:sz w:val="24"/>
      </w:rPr>
    </w:pPr>
    <w:r>
      <w:rPr>
        <w:b/>
        <w:bCs/>
        <w:sz w:val="24"/>
      </w:rPr>
      <w:t>3.11-</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Pr>
        <w:rStyle w:val="PageNumber"/>
        <w:b/>
        <w:bCs/>
        <w:noProof/>
        <w:sz w:val="24"/>
      </w:rPr>
      <w:t>42</w:t>
    </w:r>
    <w:r>
      <w:rPr>
        <w:rStyle w:val="PageNumbe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1CC37" w14:textId="77777777" w:rsidR="00325DC5" w:rsidRDefault="00325DC5">
      <w:r>
        <w:separator/>
      </w:r>
    </w:p>
  </w:footnote>
  <w:footnote w:type="continuationSeparator" w:id="0">
    <w:p w14:paraId="516B93DD" w14:textId="77777777" w:rsidR="00325DC5" w:rsidRDefault="00325DC5">
      <w:r>
        <w:continuationSeparator/>
      </w:r>
    </w:p>
  </w:footnote>
  <w:footnote w:id="1">
    <w:p w14:paraId="18A94AB4" w14:textId="19A4936C" w:rsidR="00341677" w:rsidRDefault="00341677" w:rsidP="004F2155">
      <w:pPr>
        <w:jc w:val="both"/>
        <w:rPr>
          <w:color w:val="000000" w:themeColor="text1"/>
          <w:sz w:val="24"/>
        </w:rPr>
      </w:pPr>
      <w:r w:rsidRPr="004F2155">
        <w:rPr>
          <w:rStyle w:val="FootnoteReference"/>
          <w:color w:val="000000" w:themeColor="text1"/>
          <w:sz w:val="24"/>
          <w:vertAlign w:val="superscript"/>
        </w:rPr>
        <w:footnoteRef/>
      </w:r>
      <w:r w:rsidRPr="004F2155">
        <w:rPr>
          <w:color w:val="000000" w:themeColor="text1"/>
          <w:sz w:val="24"/>
        </w:rPr>
        <w:t xml:space="preserve">  The burden of proof imposed depends upon and is tied to the status of the plaintiff and the subject matter of the defamatory statement.  Where the plaintiff is a public official or a “public figure” and the subject matter of the defamatory statement is a matter of legitimate public concern, the standard of proof is “clear and convincing” evidence.  </w:t>
      </w:r>
      <w:r w:rsidRPr="004F2155">
        <w:rPr>
          <w:i/>
          <w:color w:val="000000" w:themeColor="text1"/>
          <w:sz w:val="24"/>
        </w:rPr>
        <w:t>See</w:t>
      </w:r>
      <w:r w:rsidRPr="004F2155">
        <w:rPr>
          <w:color w:val="000000" w:themeColor="text1"/>
          <w:sz w:val="24"/>
        </w:rPr>
        <w:t xml:space="preserve"> </w:t>
      </w:r>
      <w:r w:rsidRPr="004F2155">
        <w:rPr>
          <w:i/>
          <w:iCs/>
          <w:color w:val="000000" w:themeColor="text1"/>
          <w:sz w:val="24"/>
        </w:rPr>
        <w:t>New York Times v. Sullivan</w:t>
      </w:r>
      <w:r w:rsidRPr="004F2155">
        <w:rPr>
          <w:color w:val="000000" w:themeColor="text1"/>
          <w:sz w:val="24"/>
        </w:rPr>
        <w:t xml:space="preserve">, 376 </w:t>
      </w:r>
      <w:r w:rsidRPr="004F2155">
        <w:rPr>
          <w:i/>
          <w:iCs/>
          <w:color w:val="000000" w:themeColor="text1"/>
          <w:sz w:val="24"/>
        </w:rPr>
        <w:t>U.S.</w:t>
      </w:r>
      <w:r w:rsidRPr="004F2155">
        <w:rPr>
          <w:color w:val="000000" w:themeColor="text1"/>
          <w:sz w:val="24"/>
        </w:rPr>
        <w:t xml:space="preserve"> 254, 84 </w:t>
      </w:r>
      <w:r w:rsidRPr="004F2155">
        <w:rPr>
          <w:i/>
          <w:iCs/>
          <w:color w:val="000000" w:themeColor="text1"/>
          <w:sz w:val="24"/>
        </w:rPr>
        <w:t>S.Ct.</w:t>
      </w:r>
      <w:r w:rsidRPr="004F2155">
        <w:rPr>
          <w:color w:val="000000" w:themeColor="text1"/>
          <w:sz w:val="24"/>
        </w:rPr>
        <w:t xml:space="preserve"> 710, 11 </w:t>
      </w:r>
      <w:r w:rsidRPr="004F2155">
        <w:rPr>
          <w:i/>
          <w:color w:val="000000" w:themeColor="text1"/>
          <w:sz w:val="24"/>
        </w:rPr>
        <w:t xml:space="preserve">L.Ed. </w:t>
      </w:r>
      <w:r w:rsidRPr="004F2155">
        <w:rPr>
          <w:color w:val="000000" w:themeColor="text1"/>
          <w:sz w:val="24"/>
        </w:rPr>
        <w:t xml:space="preserve">2d 83 (1964); </w:t>
      </w:r>
      <w:r w:rsidRPr="004F2155">
        <w:rPr>
          <w:i/>
          <w:iCs/>
          <w:color w:val="000000" w:themeColor="text1"/>
          <w:sz w:val="24"/>
        </w:rPr>
        <w:t>Gertz v. Robert Welch, Inc.</w:t>
      </w:r>
      <w:r w:rsidRPr="004F2155">
        <w:rPr>
          <w:color w:val="000000" w:themeColor="text1"/>
          <w:sz w:val="24"/>
        </w:rPr>
        <w:t xml:space="preserve">, 418 </w:t>
      </w:r>
      <w:r w:rsidRPr="004F2155">
        <w:rPr>
          <w:i/>
          <w:iCs/>
          <w:color w:val="000000" w:themeColor="text1"/>
          <w:sz w:val="24"/>
        </w:rPr>
        <w:t>U.S.</w:t>
      </w:r>
      <w:r w:rsidRPr="004F2155">
        <w:rPr>
          <w:color w:val="000000" w:themeColor="text1"/>
          <w:sz w:val="24"/>
        </w:rPr>
        <w:t xml:space="preserve"> 323, 945 </w:t>
      </w:r>
      <w:r w:rsidRPr="004F2155">
        <w:rPr>
          <w:i/>
          <w:color w:val="000000" w:themeColor="text1"/>
          <w:sz w:val="24"/>
        </w:rPr>
        <w:t xml:space="preserve">S.Ct. </w:t>
      </w:r>
      <w:r w:rsidRPr="004F2155">
        <w:rPr>
          <w:color w:val="000000" w:themeColor="text1"/>
          <w:sz w:val="24"/>
        </w:rPr>
        <w:t xml:space="preserve">2997, 41 </w:t>
      </w:r>
      <w:r w:rsidRPr="004F2155">
        <w:rPr>
          <w:i/>
          <w:color w:val="000000" w:themeColor="text1"/>
          <w:sz w:val="24"/>
        </w:rPr>
        <w:t xml:space="preserve">L.Ed. </w:t>
      </w:r>
      <w:r w:rsidRPr="004F2155">
        <w:rPr>
          <w:color w:val="000000" w:themeColor="text1"/>
          <w:sz w:val="24"/>
        </w:rPr>
        <w:t xml:space="preserve">2d 789 (1974); </w:t>
      </w:r>
      <w:r w:rsidRPr="004F2155">
        <w:rPr>
          <w:i/>
          <w:iCs/>
          <w:color w:val="000000" w:themeColor="text1"/>
          <w:sz w:val="24"/>
        </w:rPr>
        <w:t>Lawrence v. Bauer Pub. Co.</w:t>
      </w:r>
      <w:r w:rsidRPr="004F2155">
        <w:rPr>
          <w:color w:val="000000" w:themeColor="text1"/>
          <w:sz w:val="24"/>
        </w:rPr>
        <w:t xml:space="preserve">, 89 </w:t>
      </w:r>
      <w:r w:rsidRPr="004F2155">
        <w:rPr>
          <w:i/>
          <w:iCs/>
          <w:color w:val="000000" w:themeColor="text1"/>
          <w:sz w:val="24"/>
        </w:rPr>
        <w:t>N.J.</w:t>
      </w:r>
      <w:r w:rsidRPr="004F2155">
        <w:rPr>
          <w:color w:val="000000" w:themeColor="text1"/>
          <w:sz w:val="24"/>
        </w:rPr>
        <w:t xml:space="preserve"> 451 (1982); </w:t>
      </w:r>
      <w:r w:rsidRPr="004F2155">
        <w:rPr>
          <w:i/>
          <w:iCs/>
          <w:color w:val="000000" w:themeColor="text1"/>
          <w:sz w:val="24"/>
        </w:rPr>
        <w:t>Marchiano v. Sandman</w:t>
      </w:r>
      <w:r w:rsidRPr="004F2155">
        <w:rPr>
          <w:color w:val="000000" w:themeColor="text1"/>
          <w:sz w:val="24"/>
        </w:rPr>
        <w:t xml:space="preserve">, 178 </w:t>
      </w:r>
      <w:r w:rsidRPr="004F2155">
        <w:rPr>
          <w:i/>
          <w:iCs/>
          <w:color w:val="000000" w:themeColor="text1"/>
          <w:sz w:val="24"/>
        </w:rPr>
        <w:t>N.J. Super.</w:t>
      </w:r>
      <w:r w:rsidRPr="004F2155">
        <w:rPr>
          <w:color w:val="000000" w:themeColor="text1"/>
          <w:sz w:val="24"/>
        </w:rPr>
        <w:t xml:space="preserve"> 171 (App. Div.), </w:t>
      </w:r>
      <w:r w:rsidRPr="004F2155">
        <w:rPr>
          <w:i/>
          <w:color w:val="000000" w:themeColor="text1"/>
          <w:sz w:val="24"/>
        </w:rPr>
        <w:t>certif. denied</w:t>
      </w:r>
      <w:r w:rsidRPr="004F2155">
        <w:rPr>
          <w:color w:val="000000" w:themeColor="text1"/>
          <w:sz w:val="24"/>
        </w:rPr>
        <w:t xml:space="preserve">, 87 </w:t>
      </w:r>
      <w:r w:rsidRPr="004F2155">
        <w:rPr>
          <w:i/>
          <w:color w:val="000000" w:themeColor="text1"/>
          <w:sz w:val="24"/>
        </w:rPr>
        <w:t xml:space="preserve">N.J. </w:t>
      </w:r>
      <w:r w:rsidRPr="004F2155">
        <w:rPr>
          <w:color w:val="000000" w:themeColor="text1"/>
          <w:sz w:val="24"/>
        </w:rPr>
        <w:t xml:space="preserve">392 (1981); </w:t>
      </w:r>
      <w:r w:rsidRPr="004F2155">
        <w:rPr>
          <w:i/>
          <w:iCs/>
          <w:color w:val="000000" w:themeColor="text1"/>
          <w:sz w:val="24"/>
        </w:rPr>
        <w:t>Vassallo v. Bell</w:t>
      </w:r>
      <w:r w:rsidRPr="004F2155">
        <w:rPr>
          <w:color w:val="000000" w:themeColor="text1"/>
          <w:sz w:val="24"/>
        </w:rPr>
        <w:t xml:space="preserve">, 221 </w:t>
      </w:r>
      <w:r w:rsidRPr="004F2155">
        <w:rPr>
          <w:i/>
          <w:iCs/>
          <w:color w:val="000000" w:themeColor="text1"/>
          <w:sz w:val="24"/>
        </w:rPr>
        <w:t>N.J. Super</w:t>
      </w:r>
      <w:r w:rsidRPr="004F2155">
        <w:rPr>
          <w:color w:val="000000" w:themeColor="text1"/>
          <w:sz w:val="24"/>
        </w:rPr>
        <w:t xml:space="preserve">. 347 (App. Div. 1987) [involving a “limited purpose” public figure].  </w:t>
      </w:r>
      <w:r w:rsidR="006D6E05">
        <w:rPr>
          <w:color w:val="000000" w:themeColor="text1"/>
          <w:sz w:val="24"/>
        </w:rPr>
        <w:t>In addition, w</w:t>
      </w:r>
      <w:r w:rsidRPr="004F2155">
        <w:rPr>
          <w:color w:val="000000" w:themeColor="text1"/>
          <w:sz w:val="24"/>
        </w:rPr>
        <w:t xml:space="preserve">here plaintiff is a private figure and the subject matter of the defamatory statement is a matter of legitimate public concern, the standard of proof is also clear and convincing. </w:t>
      </w:r>
      <w:r w:rsidR="00D92829">
        <w:rPr>
          <w:color w:val="000000" w:themeColor="text1"/>
          <w:sz w:val="24"/>
        </w:rPr>
        <w:t xml:space="preserve"> </w:t>
      </w:r>
      <w:r w:rsidRPr="004F2155">
        <w:rPr>
          <w:i/>
          <w:iCs/>
          <w:color w:val="000000" w:themeColor="text1"/>
          <w:sz w:val="24"/>
        </w:rPr>
        <w:t>See Pitts v. Newark Bd. of Educ.</w:t>
      </w:r>
      <w:r w:rsidRPr="004F2155">
        <w:rPr>
          <w:color w:val="000000" w:themeColor="text1"/>
          <w:sz w:val="24"/>
        </w:rPr>
        <w:t xml:space="preserve">, 337 </w:t>
      </w:r>
      <w:r w:rsidRPr="004F2155">
        <w:rPr>
          <w:i/>
          <w:iCs/>
          <w:color w:val="000000" w:themeColor="text1"/>
          <w:sz w:val="24"/>
        </w:rPr>
        <w:t>N.J. Super.</w:t>
      </w:r>
      <w:r w:rsidRPr="004F2155">
        <w:rPr>
          <w:color w:val="000000" w:themeColor="text1"/>
          <w:sz w:val="24"/>
        </w:rPr>
        <w:t xml:space="preserve"> 331 (2001); </w:t>
      </w:r>
      <w:r w:rsidRPr="004F2155">
        <w:rPr>
          <w:i/>
          <w:iCs/>
          <w:color w:val="000000" w:themeColor="text1"/>
          <w:sz w:val="24"/>
        </w:rPr>
        <w:t xml:space="preserve">Burke v. </w:t>
      </w:r>
      <w:proofErr w:type="spellStart"/>
      <w:r w:rsidRPr="004F2155">
        <w:rPr>
          <w:i/>
          <w:iCs/>
          <w:color w:val="000000" w:themeColor="text1"/>
          <w:sz w:val="24"/>
        </w:rPr>
        <w:t>Deiner</w:t>
      </w:r>
      <w:proofErr w:type="spellEnd"/>
      <w:r w:rsidRPr="004F2155">
        <w:rPr>
          <w:color w:val="000000" w:themeColor="text1"/>
          <w:sz w:val="24"/>
        </w:rPr>
        <w:t xml:space="preserve">, 97 </w:t>
      </w:r>
      <w:r w:rsidRPr="004F2155">
        <w:rPr>
          <w:i/>
          <w:iCs/>
          <w:color w:val="000000" w:themeColor="text1"/>
          <w:sz w:val="24"/>
        </w:rPr>
        <w:t xml:space="preserve">N.J. </w:t>
      </w:r>
      <w:r w:rsidRPr="004F2155">
        <w:rPr>
          <w:color w:val="000000" w:themeColor="text1"/>
          <w:sz w:val="24"/>
        </w:rPr>
        <w:t xml:space="preserve">465 (1984); </w:t>
      </w:r>
      <w:r w:rsidRPr="004F2155">
        <w:rPr>
          <w:i/>
          <w:iCs/>
          <w:color w:val="000000" w:themeColor="text1"/>
          <w:sz w:val="24"/>
        </w:rPr>
        <w:t>Costello v. Ocean County Observer</w:t>
      </w:r>
      <w:r w:rsidRPr="004F2155">
        <w:rPr>
          <w:color w:val="000000" w:themeColor="text1"/>
          <w:sz w:val="24"/>
        </w:rPr>
        <w:t xml:space="preserve">, 136 </w:t>
      </w:r>
      <w:r w:rsidRPr="004F2155">
        <w:rPr>
          <w:i/>
          <w:iCs/>
          <w:color w:val="000000" w:themeColor="text1"/>
          <w:sz w:val="24"/>
        </w:rPr>
        <w:t>N.J.</w:t>
      </w:r>
      <w:r w:rsidRPr="004F2155">
        <w:rPr>
          <w:color w:val="000000" w:themeColor="text1"/>
          <w:sz w:val="24"/>
        </w:rPr>
        <w:t xml:space="preserve"> 595 (1994).  The trial judge must make the determination as to the status of the plaintiff </w:t>
      </w:r>
      <w:r w:rsidR="006D6E05">
        <w:rPr>
          <w:color w:val="000000" w:themeColor="text1"/>
          <w:sz w:val="24"/>
        </w:rPr>
        <w:t xml:space="preserve">(public or private person) </w:t>
      </w:r>
      <w:r w:rsidRPr="004F2155">
        <w:rPr>
          <w:color w:val="000000" w:themeColor="text1"/>
          <w:sz w:val="24"/>
        </w:rPr>
        <w:t>and</w:t>
      </w:r>
      <w:r w:rsidR="006D6E05">
        <w:rPr>
          <w:color w:val="000000" w:themeColor="text1"/>
          <w:sz w:val="24"/>
        </w:rPr>
        <w:t>, if a private person,</w:t>
      </w:r>
      <w:r w:rsidRPr="004F2155">
        <w:rPr>
          <w:color w:val="000000" w:themeColor="text1"/>
          <w:sz w:val="24"/>
        </w:rPr>
        <w:t xml:space="preserve"> whether the statements complained of by a private person are a matter of legitimate public concern.  </w:t>
      </w:r>
      <w:r w:rsidRPr="004F2155">
        <w:rPr>
          <w:i/>
          <w:iCs/>
          <w:color w:val="000000" w:themeColor="text1"/>
          <w:sz w:val="24"/>
        </w:rPr>
        <w:t>See</w:t>
      </w:r>
      <w:r w:rsidRPr="004F2155">
        <w:rPr>
          <w:color w:val="000000" w:themeColor="text1"/>
          <w:sz w:val="24"/>
        </w:rPr>
        <w:t xml:space="preserve"> </w:t>
      </w:r>
      <w:r w:rsidRPr="004F2155">
        <w:rPr>
          <w:i/>
          <w:iCs/>
          <w:color w:val="000000" w:themeColor="text1"/>
          <w:sz w:val="24"/>
        </w:rPr>
        <w:t>Lawrence v. Bauer Pub. Co., supra</w:t>
      </w:r>
      <w:r w:rsidRPr="004F2155">
        <w:rPr>
          <w:color w:val="000000" w:themeColor="text1"/>
          <w:sz w:val="24"/>
        </w:rPr>
        <w:t>;</w:t>
      </w:r>
      <w:r w:rsidRPr="004F2155">
        <w:rPr>
          <w:i/>
          <w:iCs/>
          <w:color w:val="000000" w:themeColor="text1"/>
          <w:sz w:val="24"/>
        </w:rPr>
        <w:t xml:space="preserve"> Dairy Stores, Inc. v. Sentinel Pub. Co</w:t>
      </w:r>
      <w:r w:rsidRPr="004F2155">
        <w:rPr>
          <w:color w:val="000000" w:themeColor="text1"/>
          <w:sz w:val="24"/>
        </w:rPr>
        <w:t xml:space="preserve">., 104 </w:t>
      </w:r>
      <w:r w:rsidRPr="004F2155">
        <w:rPr>
          <w:i/>
          <w:iCs/>
          <w:color w:val="000000" w:themeColor="text1"/>
          <w:sz w:val="24"/>
        </w:rPr>
        <w:t>N.J.</w:t>
      </w:r>
      <w:r w:rsidRPr="004F2155">
        <w:rPr>
          <w:color w:val="000000" w:themeColor="text1"/>
          <w:sz w:val="24"/>
        </w:rPr>
        <w:t xml:space="preserve"> 125 (1986); </w:t>
      </w:r>
      <w:r w:rsidRPr="004F2155">
        <w:rPr>
          <w:i/>
          <w:iCs/>
          <w:color w:val="000000" w:themeColor="text1"/>
          <w:sz w:val="24"/>
        </w:rPr>
        <w:t>Rocci v. Ecole Secondaire</w:t>
      </w:r>
      <w:r w:rsidRPr="004F2155">
        <w:rPr>
          <w:color w:val="000000" w:themeColor="text1"/>
          <w:sz w:val="24"/>
        </w:rPr>
        <w:t xml:space="preserve">, 165 </w:t>
      </w:r>
      <w:r w:rsidRPr="004F2155">
        <w:rPr>
          <w:i/>
          <w:iCs/>
          <w:color w:val="000000" w:themeColor="text1"/>
          <w:sz w:val="24"/>
        </w:rPr>
        <w:t>N.J.</w:t>
      </w:r>
      <w:r w:rsidRPr="004F2155">
        <w:rPr>
          <w:color w:val="000000" w:themeColor="text1"/>
          <w:sz w:val="24"/>
        </w:rPr>
        <w:t xml:space="preserve"> 149 (2000) (expand</w:t>
      </w:r>
      <w:r w:rsidR="006D6E05">
        <w:rPr>
          <w:color w:val="000000" w:themeColor="text1"/>
          <w:sz w:val="24"/>
        </w:rPr>
        <w:t>ing</w:t>
      </w:r>
      <w:r w:rsidRPr="004F2155">
        <w:rPr>
          <w:color w:val="000000" w:themeColor="text1"/>
          <w:sz w:val="24"/>
        </w:rPr>
        <w:t xml:space="preserve"> the definition of what is deemed to be “of public concern”). </w:t>
      </w:r>
      <w:r w:rsidR="00D92829">
        <w:rPr>
          <w:color w:val="000000" w:themeColor="text1"/>
          <w:sz w:val="24"/>
        </w:rPr>
        <w:t xml:space="preserve"> </w:t>
      </w:r>
      <w:r w:rsidRPr="004F2155">
        <w:rPr>
          <w:i/>
          <w:iCs/>
          <w:color w:val="000000" w:themeColor="text1"/>
          <w:sz w:val="24"/>
        </w:rPr>
        <w:t>See also</w:t>
      </w:r>
      <w:r w:rsidRPr="004F2155">
        <w:rPr>
          <w:color w:val="000000" w:themeColor="text1"/>
          <w:sz w:val="24"/>
        </w:rPr>
        <w:t xml:space="preserve"> </w:t>
      </w:r>
      <w:r w:rsidRPr="004F2155">
        <w:rPr>
          <w:i/>
          <w:iCs/>
          <w:color w:val="000000" w:themeColor="text1"/>
          <w:sz w:val="24"/>
        </w:rPr>
        <w:t>Senna v. Floriment</w:t>
      </w:r>
      <w:r w:rsidRPr="004F2155">
        <w:rPr>
          <w:color w:val="000000" w:themeColor="text1"/>
          <w:sz w:val="24"/>
        </w:rPr>
        <w:t xml:space="preserve">, 196 </w:t>
      </w:r>
      <w:r w:rsidRPr="00D92829">
        <w:rPr>
          <w:i/>
          <w:iCs/>
          <w:color w:val="000000" w:themeColor="text1"/>
          <w:sz w:val="24"/>
        </w:rPr>
        <w:t>N.J.</w:t>
      </w:r>
      <w:r w:rsidRPr="004F2155">
        <w:rPr>
          <w:color w:val="000000" w:themeColor="text1"/>
          <w:sz w:val="24"/>
        </w:rPr>
        <w:t xml:space="preserve"> 469 (2008).  </w:t>
      </w:r>
      <w:r w:rsidRPr="004F2155">
        <w:rPr>
          <w:i/>
          <w:iCs/>
          <w:color w:val="000000" w:themeColor="text1"/>
          <w:sz w:val="24"/>
        </w:rPr>
        <w:t>See further</w:t>
      </w:r>
      <w:r w:rsidRPr="004F2155">
        <w:rPr>
          <w:color w:val="000000" w:themeColor="text1"/>
          <w:sz w:val="24"/>
        </w:rPr>
        <w:t xml:space="preserve"> </w:t>
      </w:r>
      <w:proofErr w:type="spellStart"/>
      <w:r w:rsidRPr="004F2155">
        <w:rPr>
          <w:i/>
          <w:color w:val="000000" w:themeColor="text1"/>
          <w:sz w:val="24"/>
        </w:rPr>
        <w:t>Berkery</w:t>
      </w:r>
      <w:proofErr w:type="spellEnd"/>
      <w:r w:rsidRPr="004F2155">
        <w:rPr>
          <w:i/>
          <w:color w:val="000000" w:themeColor="text1"/>
          <w:sz w:val="24"/>
        </w:rPr>
        <w:t xml:space="preserve"> v. Kinney</w:t>
      </w:r>
      <w:r w:rsidRPr="004F2155">
        <w:rPr>
          <w:color w:val="000000" w:themeColor="text1"/>
          <w:sz w:val="24"/>
        </w:rPr>
        <w:t xml:space="preserve">, 397 </w:t>
      </w:r>
      <w:r w:rsidRPr="004F2155">
        <w:rPr>
          <w:i/>
          <w:color w:val="000000" w:themeColor="text1"/>
          <w:sz w:val="24"/>
        </w:rPr>
        <w:t>N.J. Super.</w:t>
      </w:r>
      <w:r w:rsidRPr="004F2155">
        <w:rPr>
          <w:color w:val="000000" w:themeColor="text1"/>
          <w:sz w:val="24"/>
        </w:rPr>
        <w:t xml:space="preserve"> 222 (App. Div. 2007), </w:t>
      </w:r>
      <w:r w:rsidRPr="004F2155">
        <w:rPr>
          <w:i/>
          <w:color w:val="000000" w:themeColor="text1"/>
          <w:sz w:val="24"/>
        </w:rPr>
        <w:t>certif. denied</w:t>
      </w:r>
      <w:r w:rsidRPr="004F2155">
        <w:rPr>
          <w:color w:val="000000" w:themeColor="text1"/>
          <w:sz w:val="24"/>
        </w:rPr>
        <w:t xml:space="preserve">, 194 </w:t>
      </w:r>
      <w:r w:rsidRPr="004F2155">
        <w:rPr>
          <w:i/>
          <w:color w:val="000000" w:themeColor="text1"/>
          <w:sz w:val="24"/>
        </w:rPr>
        <w:t>N.J.</w:t>
      </w:r>
      <w:r w:rsidRPr="004F2155">
        <w:rPr>
          <w:color w:val="000000" w:themeColor="text1"/>
          <w:sz w:val="24"/>
        </w:rPr>
        <w:t xml:space="preserve"> 445 (2008), in which the court held that once a person becomes a public figure, even if </w:t>
      </w:r>
      <w:r w:rsidR="00D92829">
        <w:rPr>
          <w:color w:val="000000" w:themeColor="text1"/>
          <w:sz w:val="24"/>
        </w:rPr>
        <w:t>the person</w:t>
      </w:r>
      <w:r w:rsidRPr="004F2155">
        <w:rPr>
          <w:color w:val="000000" w:themeColor="text1"/>
          <w:sz w:val="24"/>
        </w:rPr>
        <w:t xml:space="preserve"> subsequently adopts a private lifestyle, </w:t>
      </w:r>
      <w:r w:rsidR="00D92829">
        <w:rPr>
          <w:color w:val="000000" w:themeColor="text1"/>
          <w:sz w:val="24"/>
        </w:rPr>
        <w:t>the person</w:t>
      </w:r>
      <w:r w:rsidRPr="004F2155">
        <w:rPr>
          <w:color w:val="000000" w:themeColor="text1"/>
          <w:sz w:val="24"/>
        </w:rPr>
        <w:t xml:space="preserve"> remains a public figure thereafter for purposes of later commentary or treatment of that commentary.</w:t>
      </w:r>
    </w:p>
    <w:p w14:paraId="4F2DA806" w14:textId="77777777" w:rsidR="00053A55" w:rsidRPr="004F2155" w:rsidRDefault="00053A55" w:rsidP="004F2155">
      <w:pPr>
        <w:jc w:val="both"/>
        <w:rPr>
          <w:color w:val="000000" w:themeColor="text1"/>
          <w:sz w:val="24"/>
        </w:rPr>
      </w:pPr>
    </w:p>
  </w:footnote>
  <w:footnote w:id="2">
    <w:p w14:paraId="38F72CA0" w14:textId="2593C240" w:rsidR="00341677" w:rsidRPr="004F2155" w:rsidRDefault="00341677" w:rsidP="00FE2895">
      <w:pPr>
        <w:pStyle w:val="FootnoteText"/>
        <w:rPr>
          <w:color w:val="000000" w:themeColor="text1"/>
          <w:sz w:val="24"/>
          <w:szCs w:val="24"/>
        </w:rPr>
      </w:pPr>
      <w:r w:rsidRPr="004F2155">
        <w:rPr>
          <w:rStyle w:val="FootnoteReference"/>
          <w:color w:val="000000" w:themeColor="text1"/>
          <w:sz w:val="24"/>
          <w:szCs w:val="24"/>
          <w:vertAlign w:val="superscript"/>
        </w:rPr>
        <w:footnoteRef/>
      </w:r>
      <w:r w:rsidRPr="004F2155">
        <w:rPr>
          <w:color w:val="000000" w:themeColor="text1"/>
          <w:sz w:val="24"/>
          <w:szCs w:val="24"/>
        </w:rPr>
        <w:t xml:space="preserve"> A defamatory statement may consist of libel or slander. </w:t>
      </w:r>
      <w:r w:rsidR="00053A55">
        <w:rPr>
          <w:color w:val="000000" w:themeColor="text1"/>
          <w:sz w:val="24"/>
          <w:szCs w:val="24"/>
        </w:rPr>
        <w:t xml:space="preserve"> </w:t>
      </w:r>
      <w:r w:rsidRPr="004F2155">
        <w:rPr>
          <w:i/>
          <w:iCs/>
          <w:color w:val="000000" w:themeColor="text1"/>
          <w:sz w:val="24"/>
          <w:szCs w:val="24"/>
        </w:rPr>
        <w:t>Dairy Stores, Inc. v. Sentinel Publ'g Co</w:t>
      </w:r>
      <w:r w:rsidRPr="004F2155">
        <w:rPr>
          <w:color w:val="000000" w:themeColor="text1"/>
          <w:sz w:val="24"/>
          <w:szCs w:val="24"/>
        </w:rPr>
        <w:t xml:space="preserve">., 104 </w:t>
      </w:r>
      <w:r w:rsidRPr="004F2155">
        <w:rPr>
          <w:i/>
          <w:color w:val="000000" w:themeColor="text1"/>
          <w:sz w:val="24"/>
          <w:szCs w:val="24"/>
        </w:rPr>
        <w:t>N.J.</w:t>
      </w:r>
      <w:r w:rsidRPr="004F2155">
        <w:rPr>
          <w:color w:val="000000" w:themeColor="text1"/>
          <w:sz w:val="24"/>
          <w:szCs w:val="24"/>
        </w:rPr>
        <w:t xml:space="preserve"> 125, 133, 516 </w:t>
      </w:r>
      <w:r w:rsidRPr="004F2155">
        <w:rPr>
          <w:i/>
          <w:color w:val="000000" w:themeColor="text1"/>
          <w:sz w:val="24"/>
          <w:szCs w:val="24"/>
        </w:rPr>
        <w:t xml:space="preserve">A.2d </w:t>
      </w:r>
      <w:r w:rsidRPr="004F2155">
        <w:rPr>
          <w:color w:val="000000" w:themeColor="text1"/>
          <w:sz w:val="24"/>
          <w:szCs w:val="24"/>
        </w:rPr>
        <w:t>220 (1986) (</w:t>
      </w:r>
      <w:r w:rsidRPr="00854F34">
        <w:rPr>
          <w:i/>
          <w:iCs/>
          <w:color w:val="000000" w:themeColor="text1"/>
          <w:sz w:val="24"/>
          <w:szCs w:val="24"/>
        </w:rPr>
        <w:t>citing</w:t>
      </w:r>
      <w:r w:rsidRPr="004F2155">
        <w:rPr>
          <w:color w:val="000000" w:themeColor="text1"/>
          <w:sz w:val="24"/>
          <w:szCs w:val="24"/>
        </w:rPr>
        <w:t xml:space="preserve"> </w:t>
      </w:r>
      <w:r w:rsidRPr="004F2155">
        <w:rPr>
          <w:i/>
          <w:iCs/>
          <w:color w:val="000000" w:themeColor="text1"/>
          <w:sz w:val="24"/>
          <w:szCs w:val="24"/>
        </w:rPr>
        <w:t>Prosser and Keeton on Torts</w:t>
      </w:r>
      <w:r w:rsidRPr="004F2155">
        <w:rPr>
          <w:color w:val="000000" w:themeColor="text1"/>
          <w:sz w:val="24"/>
          <w:szCs w:val="24"/>
        </w:rPr>
        <w:t xml:space="preserve"> § 111 at 771 (5th ed. 1984)); Rodney A. Smolla, </w:t>
      </w:r>
      <w:r w:rsidRPr="004F2155">
        <w:rPr>
          <w:i/>
          <w:iCs/>
          <w:color w:val="000000" w:themeColor="text1"/>
          <w:sz w:val="24"/>
          <w:szCs w:val="24"/>
        </w:rPr>
        <w:t>Law of Defamation</w:t>
      </w:r>
      <w:r w:rsidRPr="004F2155">
        <w:rPr>
          <w:color w:val="000000" w:themeColor="text1"/>
          <w:sz w:val="24"/>
          <w:szCs w:val="24"/>
        </w:rPr>
        <w:t xml:space="preserve"> § 1:10 (2d ed. 2008).</w:t>
      </w:r>
    </w:p>
    <w:p w14:paraId="7D77C013" w14:textId="77777777" w:rsidR="00341677" w:rsidRPr="004F2155" w:rsidRDefault="00341677" w:rsidP="00FE2895">
      <w:pPr>
        <w:pStyle w:val="FootnoteText"/>
        <w:rPr>
          <w:color w:val="000000" w:themeColor="text1"/>
          <w:sz w:val="24"/>
          <w:szCs w:val="24"/>
        </w:rPr>
      </w:pPr>
    </w:p>
  </w:footnote>
  <w:footnote w:id="3">
    <w:p w14:paraId="5C502BDD" w14:textId="19663F2B" w:rsidR="00014598" w:rsidRDefault="00014598" w:rsidP="00FE2895">
      <w:pPr>
        <w:jc w:val="both"/>
        <w:rPr>
          <w:color w:val="000000" w:themeColor="text1"/>
          <w:sz w:val="24"/>
        </w:rPr>
      </w:pPr>
      <w:r w:rsidRPr="004F2155">
        <w:rPr>
          <w:rStyle w:val="FootnoteReference"/>
          <w:color w:val="000000" w:themeColor="text1"/>
          <w:sz w:val="24"/>
          <w:vertAlign w:val="superscript"/>
        </w:rPr>
        <w:footnoteRef/>
      </w:r>
      <w:r w:rsidRPr="004F2155">
        <w:rPr>
          <w:i/>
          <w:iCs/>
          <w:color w:val="000000" w:themeColor="text1"/>
          <w:sz w:val="24"/>
        </w:rPr>
        <w:t xml:space="preserve">  See</w:t>
      </w:r>
      <w:r w:rsidRPr="004F2155">
        <w:rPr>
          <w:color w:val="000000" w:themeColor="text1"/>
          <w:sz w:val="24"/>
        </w:rPr>
        <w:t xml:space="preserve"> </w:t>
      </w:r>
      <w:proofErr w:type="spellStart"/>
      <w:r w:rsidRPr="004F2155">
        <w:rPr>
          <w:i/>
          <w:iCs/>
          <w:color w:val="000000" w:themeColor="text1"/>
          <w:sz w:val="24"/>
        </w:rPr>
        <w:t>Maressa</w:t>
      </w:r>
      <w:proofErr w:type="spellEnd"/>
      <w:r w:rsidRPr="004F2155">
        <w:rPr>
          <w:i/>
          <w:iCs/>
          <w:color w:val="000000" w:themeColor="text1"/>
          <w:sz w:val="24"/>
        </w:rPr>
        <w:t xml:space="preserve"> v. New Jersey Monthly</w:t>
      </w:r>
      <w:r w:rsidRPr="004F2155">
        <w:rPr>
          <w:color w:val="000000" w:themeColor="text1"/>
          <w:sz w:val="24"/>
        </w:rPr>
        <w:t xml:space="preserve">, 89 </w:t>
      </w:r>
      <w:r w:rsidRPr="004F2155">
        <w:rPr>
          <w:i/>
          <w:iCs/>
          <w:color w:val="000000" w:themeColor="text1"/>
          <w:sz w:val="24"/>
        </w:rPr>
        <w:t>N.J.</w:t>
      </w:r>
      <w:r w:rsidRPr="004F2155">
        <w:rPr>
          <w:color w:val="000000" w:themeColor="text1"/>
          <w:sz w:val="24"/>
        </w:rPr>
        <w:t xml:space="preserve"> 176 (1982), </w:t>
      </w:r>
      <w:r w:rsidRPr="004F2155">
        <w:rPr>
          <w:i/>
          <w:color w:val="000000" w:themeColor="text1"/>
          <w:sz w:val="24"/>
        </w:rPr>
        <w:t>certif. denied</w:t>
      </w:r>
      <w:r w:rsidRPr="004F2155">
        <w:rPr>
          <w:color w:val="000000" w:themeColor="text1"/>
          <w:sz w:val="24"/>
        </w:rPr>
        <w:t xml:space="preserve">, 459 </w:t>
      </w:r>
      <w:r w:rsidRPr="004F2155">
        <w:rPr>
          <w:i/>
          <w:color w:val="000000" w:themeColor="text1"/>
          <w:sz w:val="24"/>
        </w:rPr>
        <w:t>U.S.</w:t>
      </w:r>
      <w:r w:rsidRPr="004F2155">
        <w:rPr>
          <w:color w:val="000000" w:themeColor="text1"/>
          <w:sz w:val="24"/>
        </w:rPr>
        <w:t xml:space="preserve"> 907, 103 </w:t>
      </w:r>
      <w:r w:rsidRPr="004F2155">
        <w:rPr>
          <w:i/>
          <w:color w:val="000000" w:themeColor="text1"/>
          <w:sz w:val="24"/>
        </w:rPr>
        <w:t xml:space="preserve">S.Ct. </w:t>
      </w:r>
      <w:r w:rsidRPr="004F2155">
        <w:rPr>
          <w:color w:val="000000" w:themeColor="text1"/>
          <w:sz w:val="24"/>
        </w:rPr>
        <w:t>211, 74</w:t>
      </w:r>
      <w:r w:rsidRPr="004F2155">
        <w:rPr>
          <w:i/>
          <w:color w:val="000000" w:themeColor="text1"/>
          <w:sz w:val="24"/>
        </w:rPr>
        <w:t xml:space="preserve"> L.Ed. </w:t>
      </w:r>
      <w:r w:rsidRPr="004F2155">
        <w:rPr>
          <w:color w:val="000000" w:themeColor="text1"/>
          <w:sz w:val="24"/>
        </w:rPr>
        <w:t xml:space="preserve">2d 169 (1982); </w:t>
      </w:r>
      <w:r w:rsidRPr="004F2155">
        <w:rPr>
          <w:i/>
          <w:iCs/>
          <w:color w:val="000000" w:themeColor="text1"/>
          <w:sz w:val="24"/>
        </w:rPr>
        <w:t>Dairy Stores, Inc. v. Sentinel Pub. Co.</w:t>
      </w:r>
      <w:r w:rsidRPr="004F2155">
        <w:rPr>
          <w:color w:val="000000" w:themeColor="text1"/>
          <w:sz w:val="24"/>
        </w:rPr>
        <w:t xml:space="preserve">, </w:t>
      </w:r>
      <w:r w:rsidRPr="004F2155">
        <w:rPr>
          <w:i/>
          <w:iCs/>
          <w:color w:val="000000" w:themeColor="text1"/>
          <w:sz w:val="24"/>
        </w:rPr>
        <w:t>supra</w:t>
      </w:r>
      <w:r w:rsidRPr="004F2155">
        <w:rPr>
          <w:color w:val="000000" w:themeColor="text1"/>
          <w:sz w:val="24"/>
        </w:rPr>
        <w:t xml:space="preserve">; </w:t>
      </w:r>
      <w:r w:rsidRPr="004F2155">
        <w:rPr>
          <w:i/>
          <w:iCs/>
          <w:color w:val="000000" w:themeColor="text1"/>
          <w:sz w:val="24"/>
        </w:rPr>
        <w:t>Restatement (Second) of Torts</w:t>
      </w:r>
      <w:r w:rsidRPr="004F2155">
        <w:rPr>
          <w:color w:val="000000" w:themeColor="text1"/>
          <w:sz w:val="24"/>
        </w:rPr>
        <w:t xml:space="preserve"> </w:t>
      </w:r>
      <w:r w:rsidR="00654187" w:rsidRPr="004F2155">
        <w:rPr>
          <w:color w:val="000000" w:themeColor="text1"/>
          <w:sz w:val="24"/>
        </w:rPr>
        <w:t>§</w:t>
      </w:r>
      <w:r w:rsidR="00654187">
        <w:rPr>
          <w:color w:val="000000" w:themeColor="text1"/>
          <w:sz w:val="24"/>
        </w:rPr>
        <w:t xml:space="preserve"> </w:t>
      </w:r>
      <w:r w:rsidRPr="004F2155">
        <w:rPr>
          <w:color w:val="000000" w:themeColor="text1"/>
          <w:sz w:val="24"/>
        </w:rPr>
        <w:t>559 (1977).</w:t>
      </w:r>
    </w:p>
    <w:p w14:paraId="5DC480DF" w14:textId="77777777" w:rsidR="00FE2895" w:rsidRPr="004F2155" w:rsidRDefault="00FE2895" w:rsidP="004F2155">
      <w:pPr>
        <w:jc w:val="both"/>
        <w:rPr>
          <w:color w:val="000000" w:themeColor="text1"/>
          <w:sz w:val="24"/>
        </w:rPr>
      </w:pPr>
    </w:p>
  </w:footnote>
  <w:footnote w:id="4">
    <w:p w14:paraId="0AAFB33A" w14:textId="300437D5" w:rsidR="00014598" w:rsidRDefault="00014598" w:rsidP="00FE2895">
      <w:pPr>
        <w:jc w:val="both"/>
        <w:rPr>
          <w:color w:val="000000" w:themeColor="text1"/>
          <w:sz w:val="24"/>
        </w:rPr>
      </w:pPr>
      <w:r w:rsidRPr="004F2155">
        <w:rPr>
          <w:rStyle w:val="FootnoteReference"/>
          <w:color w:val="000000" w:themeColor="text1"/>
          <w:sz w:val="24"/>
          <w:vertAlign w:val="superscript"/>
        </w:rPr>
        <w:footnoteRef/>
      </w:r>
      <w:r w:rsidRPr="004F2155">
        <w:rPr>
          <w:color w:val="000000" w:themeColor="text1"/>
          <w:sz w:val="24"/>
        </w:rPr>
        <w:t xml:space="preserve">  The trial court must preliminarily determine whether any of the statements complained of are statements of opinion.  If there are any statements of opinion in the publication complained of, the jury must be instructed that these statements are privileged and are not to be considered in any way in their deliberations.  </w:t>
      </w:r>
      <w:r w:rsidRPr="004F2155">
        <w:rPr>
          <w:i/>
          <w:iCs/>
          <w:color w:val="000000" w:themeColor="text1"/>
          <w:sz w:val="24"/>
        </w:rPr>
        <w:t>See</w:t>
      </w:r>
      <w:r w:rsidRPr="004F2155">
        <w:rPr>
          <w:color w:val="000000" w:themeColor="text1"/>
          <w:sz w:val="24"/>
        </w:rPr>
        <w:t xml:space="preserve"> </w:t>
      </w:r>
      <w:r w:rsidRPr="004F2155">
        <w:rPr>
          <w:i/>
          <w:iCs/>
          <w:color w:val="000000" w:themeColor="text1"/>
          <w:sz w:val="24"/>
        </w:rPr>
        <w:t>Gertz v. Robert Welch, Inc.</w:t>
      </w:r>
      <w:r w:rsidRPr="004F2155">
        <w:rPr>
          <w:color w:val="000000" w:themeColor="text1"/>
          <w:sz w:val="24"/>
        </w:rPr>
        <w:t xml:space="preserve">, </w:t>
      </w:r>
      <w:proofErr w:type="gramStart"/>
      <w:r w:rsidRPr="004F2155">
        <w:rPr>
          <w:i/>
          <w:color w:val="000000" w:themeColor="text1"/>
          <w:sz w:val="24"/>
        </w:rPr>
        <w:t>supra</w:t>
      </w:r>
      <w:r w:rsidRPr="004F2155">
        <w:rPr>
          <w:color w:val="000000" w:themeColor="text1"/>
          <w:sz w:val="24"/>
        </w:rPr>
        <w:t>;</w:t>
      </w:r>
      <w:proofErr w:type="gramEnd"/>
      <w:r w:rsidRPr="004F2155">
        <w:rPr>
          <w:color w:val="000000" w:themeColor="text1"/>
          <w:sz w:val="24"/>
        </w:rPr>
        <w:t xml:space="preserve"> </w:t>
      </w:r>
      <w:r w:rsidRPr="004F2155">
        <w:rPr>
          <w:i/>
          <w:iCs/>
          <w:color w:val="000000" w:themeColor="text1"/>
          <w:sz w:val="24"/>
        </w:rPr>
        <w:t>Kotlikoff v. The Community News</w:t>
      </w:r>
      <w:r w:rsidRPr="004F2155">
        <w:rPr>
          <w:color w:val="000000" w:themeColor="text1"/>
          <w:sz w:val="24"/>
        </w:rPr>
        <w:t xml:space="preserve">, 89 </w:t>
      </w:r>
      <w:r w:rsidRPr="004F2155">
        <w:rPr>
          <w:i/>
          <w:iCs/>
          <w:color w:val="000000" w:themeColor="text1"/>
          <w:sz w:val="24"/>
        </w:rPr>
        <w:t>N.J.</w:t>
      </w:r>
      <w:r w:rsidRPr="004F2155">
        <w:rPr>
          <w:color w:val="000000" w:themeColor="text1"/>
          <w:sz w:val="24"/>
        </w:rPr>
        <w:t xml:space="preserve"> 62 (1983); </w:t>
      </w:r>
      <w:proofErr w:type="spellStart"/>
      <w:r w:rsidRPr="004F2155">
        <w:rPr>
          <w:i/>
          <w:iCs/>
          <w:color w:val="000000" w:themeColor="text1"/>
          <w:sz w:val="24"/>
        </w:rPr>
        <w:t>Maressa</w:t>
      </w:r>
      <w:proofErr w:type="spellEnd"/>
      <w:r w:rsidRPr="004F2155">
        <w:rPr>
          <w:i/>
          <w:iCs/>
          <w:color w:val="000000" w:themeColor="text1"/>
          <w:sz w:val="24"/>
        </w:rPr>
        <w:t xml:space="preserve"> v. New Jersey Monthly</w:t>
      </w:r>
      <w:r w:rsidRPr="004F2155">
        <w:rPr>
          <w:color w:val="000000" w:themeColor="text1"/>
          <w:sz w:val="24"/>
        </w:rPr>
        <w:t xml:space="preserve">, </w:t>
      </w:r>
      <w:r w:rsidRPr="004F2155">
        <w:rPr>
          <w:i/>
          <w:color w:val="000000" w:themeColor="text1"/>
          <w:sz w:val="24"/>
        </w:rPr>
        <w:t>supra</w:t>
      </w:r>
      <w:r w:rsidRPr="004F2155">
        <w:rPr>
          <w:color w:val="000000" w:themeColor="text1"/>
          <w:sz w:val="24"/>
        </w:rPr>
        <w:t xml:space="preserve">; </w:t>
      </w:r>
      <w:r w:rsidRPr="004F2155">
        <w:rPr>
          <w:i/>
          <w:iCs/>
          <w:color w:val="000000" w:themeColor="text1"/>
          <w:sz w:val="24"/>
        </w:rPr>
        <w:t>Dunn v. Gannett New York Newspapers, Inc.</w:t>
      </w:r>
      <w:r w:rsidRPr="004F2155">
        <w:rPr>
          <w:color w:val="000000" w:themeColor="text1"/>
          <w:sz w:val="24"/>
        </w:rPr>
        <w:t xml:space="preserve">, 833 </w:t>
      </w:r>
      <w:r w:rsidRPr="004F2155">
        <w:rPr>
          <w:i/>
          <w:iCs/>
          <w:color w:val="000000" w:themeColor="text1"/>
          <w:sz w:val="24"/>
        </w:rPr>
        <w:t>F.</w:t>
      </w:r>
      <w:r w:rsidRPr="004F2155">
        <w:rPr>
          <w:color w:val="000000" w:themeColor="text1"/>
          <w:sz w:val="24"/>
        </w:rPr>
        <w:t xml:space="preserve"> 2d 446 (3d Cir. 1987); </w:t>
      </w:r>
      <w:proofErr w:type="spellStart"/>
      <w:r w:rsidRPr="004F2155">
        <w:rPr>
          <w:i/>
          <w:iCs/>
          <w:color w:val="000000" w:themeColor="text1"/>
          <w:sz w:val="24"/>
        </w:rPr>
        <w:t>Karnell</w:t>
      </w:r>
      <w:proofErr w:type="spellEnd"/>
      <w:r w:rsidRPr="004F2155">
        <w:rPr>
          <w:i/>
          <w:iCs/>
          <w:color w:val="000000" w:themeColor="text1"/>
          <w:sz w:val="24"/>
        </w:rPr>
        <w:t xml:space="preserve"> v. Campbell</w:t>
      </w:r>
      <w:r w:rsidRPr="004F2155">
        <w:rPr>
          <w:color w:val="000000" w:themeColor="text1"/>
          <w:sz w:val="24"/>
        </w:rPr>
        <w:t xml:space="preserve">, 206 </w:t>
      </w:r>
      <w:r w:rsidRPr="004F2155">
        <w:rPr>
          <w:i/>
          <w:iCs/>
          <w:color w:val="000000" w:themeColor="text1"/>
          <w:sz w:val="24"/>
        </w:rPr>
        <w:t>N.J. Super.</w:t>
      </w:r>
      <w:r w:rsidRPr="004F2155">
        <w:rPr>
          <w:color w:val="000000" w:themeColor="text1"/>
          <w:sz w:val="24"/>
        </w:rPr>
        <w:t xml:space="preserve"> 81 (App. Div. 1985); </w:t>
      </w:r>
      <w:r w:rsidRPr="004F2155">
        <w:rPr>
          <w:i/>
          <w:iCs/>
          <w:color w:val="000000" w:themeColor="text1"/>
          <w:sz w:val="24"/>
        </w:rPr>
        <w:t>Restatement (Second) of Torts</w:t>
      </w:r>
      <w:r w:rsidR="00654187">
        <w:rPr>
          <w:i/>
          <w:iCs/>
          <w:color w:val="000000" w:themeColor="text1"/>
          <w:sz w:val="24"/>
        </w:rPr>
        <w:t xml:space="preserve"> </w:t>
      </w:r>
      <w:r w:rsidR="00654187" w:rsidRPr="004F2155">
        <w:rPr>
          <w:color w:val="000000" w:themeColor="text1"/>
          <w:sz w:val="24"/>
        </w:rPr>
        <w:t>§</w:t>
      </w:r>
      <w:r w:rsidR="00654187">
        <w:rPr>
          <w:color w:val="000000" w:themeColor="text1"/>
          <w:sz w:val="24"/>
        </w:rPr>
        <w:t xml:space="preserve"> </w:t>
      </w:r>
      <w:r w:rsidRPr="004F2155">
        <w:rPr>
          <w:color w:val="000000" w:themeColor="text1"/>
          <w:sz w:val="24"/>
        </w:rPr>
        <w:t>566 (1977).</w:t>
      </w:r>
    </w:p>
    <w:p w14:paraId="55923D50" w14:textId="77777777" w:rsidR="000147ED" w:rsidRPr="004F2155" w:rsidRDefault="000147ED" w:rsidP="004F2155">
      <w:pPr>
        <w:jc w:val="both"/>
        <w:rPr>
          <w:color w:val="000000" w:themeColor="text1"/>
          <w:sz w:val="24"/>
        </w:rPr>
      </w:pPr>
    </w:p>
  </w:footnote>
  <w:footnote w:id="5">
    <w:p w14:paraId="117B67CE" w14:textId="14CF43DA" w:rsidR="00014598" w:rsidRDefault="00014598" w:rsidP="004F2155">
      <w:pPr>
        <w:jc w:val="both"/>
        <w:rPr>
          <w:color w:val="000000" w:themeColor="text1"/>
          <w:sz w:val="24"/>
        </w:rPr>
      </w:pPr>
      <w:r w:rsidRPr="004F2155">
        <w:rPr>
          <w:rStyle w:val="FootnoteReference"/>
          <w:color w:val="000000" w:themeColor="text1"/>
          <w:sz w:val="24"/>
          <w:vertAlign w:val="superscript"/>
        </w:rPr>
        <w:footnoteRef/>
      </w:r>
      <w:r w:rsidRPr="004F2155">
        <w:rPr>
          <w:color w:val="000000" w:themeColor="text1"/>
          <w:sz w:val="24"/>
        </w:rPr>
        <w:t xml:space="preserve">  The trial court must preliminarily determine whether the statement is defamatory on its face.  Only when the court finds that a statement is capable of both a defamatory and non</w:t>
      </w:r>
      <w:r w:rsidRPr="004F2155">
        <w:rPr>
          <w:color w:val="000000" w:themeColor="text1"/>
          <w:sz w:val="24"/>
        </w:rPr>
        <w:noBreakHyphen/>
        <w:t xml:space="preserve">defamatory interpretation is the issue to be submitted to the jury. See </w:t>
      </w:r>
      <w:r w:rsidRPr="004F2155">
        <w:rPr>
          <w:i/>
          <w:iCs/>
          <w:color w:val="000000" w:themeColor="text1"/>
          <w:sz w:val="24"/>
        </w:rPr>
        <w:t>Lawrence v. Bauer Pub. Co.</w:t>
      </w:r>
      <w:r w:rsidRPr="004F2155">
        <w:rPr>
          <w:color w:val="000000" w:themeColor="text1"/>
          <w:sz w:val="24"/>
        </w:rPr>
        <w:t xml:space="preserve">, </w:t>
      </w:r>
      <w:r w:rsidRPr="004F2155">
        <w:rPr>
          <w:i/>
          <w:color w:val="000000" w:themeColor="text1"/>
          <w:sz w:val="24"/>
        </w:rPr>
        <w:t>supra;</w:t>
      </w:r>
      <w:r w:rsidRPr="004F2155">
        <w:rPr>
          <w:color w:val="000000" w:themeColor="text1"/>
          <w:sz w:val="24"/>
        </w:rPr>
        <w:t xml:space="preserve"> </w:t>
      </w:r>
      <w:r w:rsidRPr="004F2155">
        <w:rPr>
          <w:i/>
          <w:iCs/>
          <w:color w:val="000000" w:themeColor="text1"/>
          <w:sz w:val="24"/>
        </w:rPr>
        <w:t xml:space="preserve">Romaine v. </w:t>
      </w:r>
      <w:proofErr w:type="spellStart"/>
      <w:r w:rsidRPr="004F2155">
        <w:rPr>
          <w:i/>
          <w:iCs/>
          <w:color w:val="000000" w:themeColor="text1"/>
          <w:sz w:val="24"/>
        </w:rPr>
        <w:t>Kallinger</w:t>
      </w:r>
      <w:proofErr w:type="spellEnd"/>
      <w:r w:rsidRPr="004F2155">
        <w:rPr>
          <w:color w:val="000000" w:themeColor="text1"/>
          <w:sz w:val="24"/>
        </w:rPr>
        <w:t xml:space="preserve">, 109 </w:t>
      </w:r>
      <w:r w:rsidRPr="004F2155">
        <w:rPr>
          <w:i/>
          <w:iCs/>
          <w:color w:val="000000" w:themeColor="text1"/>
          <w:sz w:val="24"/>
        </w:rPr>
        <w:t>N.J.</w:t>
      </w:r>
      <w:r w:rsidRPr="004F2155">
        <w:rPr>
          <w:color w:val="000000" w:themeColor="text1"/>
          <w:sz w:val="24"/>
        </w:rPr>
        <w:t xml:space="preserve"> 282, 290</w:t>
      </w:r>
      <w:r w:rsidRPr="004F2155">
        <w:rPr>
          <w:color w:val="000000" w:themeColor="text1"/>
          <w:sz w:val="24"/>
        </w:rPr>
        <w:noBreakHyphen/>
        <w:t xml:space="preserve">91 (1988); </w:t>
      </w:r>
      <w:r w:rsidRPr="004F2155">
        <w:rPr>
          <w:i/>
          <w:iCs/>
          <w:color w:val="000000" w:themeColor="text1"/>
          <w:sz w:val="24"/>
        </w:rPr>
        <w:t>State v. Browne</w:t>
      </w:r>
      <w:r w:rsidRPr="004F2155">
        <w:rPr>
          <w:color w:val="000000" w:themeColor="text1"/>
          <w:sz w:val="24"/>
        </w:rPr>
        <w:t xml:space="preserve">, 86 </w:t>
      </w:r>
      <w:r w:rsidRPr="004F2155">
        <w:rPr>
          <w:i/>
          <w:iCs/>
          <w:color w:val="000000" w:themeColor="text1"/>
          <w:sz w:val="24"/>
        </w:rPr>
        <w:t>N.J. Super.</w:t>
      </w:r>
      <w:r w:rsidRPr="004F2155">
        <w:rPr>
          <w:color w:val="000000" w:themeColor="text1"/>
          <w:sz w:val="24"/>
        </w:rPr>
        <w:t xml:space="preserve"> 217 (App. Div. 1965); </w:t>
      </w:r>
      <w:proofErr w:type="spellStart"/>
      <w:r w:rsidRPr="004F2155">
        <w:rPr>
          <w:i/>
          <w:iCs/>
          <w:color w:val="000000" w:themeColor="text1"/>
          <w:sz w:val="24"/>
        </w:rPr>
        <w:t>Sokolary</w:t>
      </w:r>
      <w:proofErr w:type="spellEnd"/>
      <w:r w:rsidRPr="004F2155">
        <w:rPr>
          <w:i/>
          <w:iCs/>
          <w:color w:val="000000" w:themeColor="text1"/>
          <w:sz w:val="24"/>
        </w:rPr>
        <w:t xml:space="preserve"> v. </w:t>
      </w:r>
      <w:proofErr w:type="spellStart"/>
      <w:r w:rsidRPr="004F2155">
        <w:rPr>
          <w:i/>
          <w:iCs/>
          <w:color w:val="000000" w:themeColor="text1"/>
          <w:sz w:val="24"/>
        </w:rPr>
        <w:t>Edlin</w:t>
      </w:r>
      <w:proofErr w:type="spellEnd"/>
      <w:r w:rsidRPr="004F2155">
        <w:rPr>
          <w:color w:val="000000" w:themeColor="text1"/>
          <w:sz w:val="24"/>
        </w:rPr>
        <w:t xml:space="preserve">, 65 </w:t>
      </w:r>
      <w:r w:rsidRPr="004F2155">
        <w:rPr>
          <w:i/>
          <w:iCs/>
          <w:color w:val="000000" w:themeColor="text1"/>
          <w:sz w:val="24"/>
        </w:rPr>
        <w:t>N.J. Super.</w:t>
      </w:r>
      <w:r w:rsidRPr="004F2155">
        <w:rPr>
          <w:color w:val="000000" w:themeColor="text1"/>
          <w:sz w:val="24"/>
        </w:rPr>
        <w:t xml:space="preserve"> 542 (App. Div. 1961); </w:t>
      </w:r>
      <w:proofErr w:type="spellStart"/>
      <w:r w:rsidRPr="004F2155">
        <w:rPr>
          <w:i/>
          <w:iCs/>
          <w:color w:val="000000" w:themeColor="text1"/>
          <w:sz w:val="24"/>
        </w:rPr>
        <w:t>Mosler</w:t>
      </w:r>
      <w:proofErr w:type="spellEnd"/>
      <w:r w:rsidRPr="004F2155">
        <w:rPr>
          <w:i/>
          <w:iCs/>
          <w:color w:val="000000" w:themeColor="text1"/>
          <w:sz w:val="24"/>
        </w:rPr>
        <w:t xml:space="preserve"> v. Whelan</w:t>
      </w:r>
      <w:r w:rsidRPr="004F2155">
        <w:rPr>
          <w:color w:val="000000" w:themeColor="text1"/>
          <w:sz w:val="24"/>
        </w:rPr>
        <w:t xml:space="preserve">, 48 </w:t>
      </w:r>
      <w:r w:rsidRPr="004F2155">
        <w:rPr>
          <w:i/>
          <w:iCs/>
          <w:color w:val="000000" w:themeColor="text1"/>
          <w:sz w:val="24"/>
        </w:rPr>
        <w:t>N.J. Super.</w:t>
      </w:r>
      <w:r w:rsidRPr="004F2155">
        <w:rPr>
          <w:color w:val="000000" w:themeColor="text1"/>
          <w:sz w:val="24"/>
        </w:rPr>
        <w:t xml:space="preserve"> 491 (App. Div.</w:t>
      </w:r>
      <w:r w:rsidR="00654187">
        <w:rPr>
          <w:color w:val="000000" w:themeColor="text1"/>
          <w:sz w:val="24"/>
        </w:rPr>
        <w:t xml:space="preserve"> 1958</w:t>
      </w:r>
      <w:r w:rsidRPr="004F2155">
        <w:rPr>
          <w:color w:val="000000" w:themeColor="text1"/>
          <w:sz w:val="24"/>
        </w:rPr>
        <w:t xml:space="preserve">), </w:t>
      </w:r>
      <w:proofErr w:type="spellStart"/>
      <w:r w:rsidRPr="004F2155">
        <w:rPr>
          <w:i/>
          <w:color w:val="000000" w:themeColor="text1"/>
          <w:sz w:val="24"/>
        </w:rPr>
        <w:t>rev’d</w:t>
      </w:r>
      <w:proofErr w:type="spellEnd"/>
      <w:r w:rsidRPr="004F2155">
        <w:rPr>
          <w:color w:val="000000" w:themeColor="text1"/>
          <w:sz w:val="24"/>
        </w:rPr>
        <w:t xml:space="preserve">, 28 </w:t>
      </w:r>
      <w:r w:rsidRPr="004F2155">
        <w:rPr>
          <w:i/>
          <w:color w:val="000000" w:themeColor="text1"/>
          <w:sz w:val="24"/>
        </w:rPr>
        <w:t>N.J.</w:t>
      </w:r>
      <w:r w:rsidRPr="004F2155">
        <w:rPr>
          <w:color w:val="000000" w:themeColor="text1"/>
          <w:sz w:val="24"/>
        </w:rPr>
        <w:t xml:space="preserve"> 397 (1958).  When the statement is only capable of a defamatory interpretation, the plaintiff need not establish this element and it should be eliminated from the instruction.</w:t>
      </w:r>
    </w:p>
    <w:p w14:paraId="1AD38A8F" w14:textId="77777777" w:rsidR="008504B4" w:rsidRPr="004F2155" w:rsidRDefault="008504B4" w:rsidP="004F2155">
      <w:pPr>
        <w:jc w:val="both"/>
        <w:rPr>
          <w:color w:val="000000" w:themeColor="text1"/>
          <w:sz w:val="24"/>
        </w:rPr>
      </w:pPr>
    </w:p>
  </w:footnote>
  <w:footnote w:id="6">
    <w:p w14:paraId="4649F1FF" w14:textId="24A5C54D" w:rsidR="00014598" w:rsidRDefault="00014598" w:rsidP="00FE2895">
      <w:pPr>
        <w:jc w:val="both"/>
        <w:rPr>
          <w:color w:val="000000" w:themeColor="text1"/>
          <w:sz w:val="24"/>
        </w:rPr>
      </w:pPr>
      <w:r w:rsidRPr="004F2155">
        <w:rPr>
          <w:rStyle w:val="FootnoteReference"/>
          <w:color w:val="000000" w:themeColor="text1"/>
          <w:sz w:val="24"/>
          <w:vertAlign w:val="superscript"/>
        </w:rPr>
        <w:footnoteRef/>
      </w:r>
      <w:r w:rsidRPr="004F2155">
        <w:rPr>
          <w:i/>
          <w:color w:val="000000" w:themeColor="text1"/>
          <w:sz w:val="24"/>
        </w:rPr>
        <w:t xml:space="preserve">  See</w:t>
      </w:r>
      <w:r w:rsidRPr="004F2155">
        <w:rPr>
          <w:color w:val="000000" w:themeColor="text1"/>
          <w:sz w:val="24"/>
        </w:rPr>
        <w:t xml:space="preserve"> </w:t>
      </w:r>
      <w:r w:rsidRPr="004F2155">
        <w:rPr>
          <w:i/>
          <w:iCs/>
          <w:color w:val="000000" w:themeColor="text1"/>
          <w:sz w:val="24"/>
        </w:rPr>
        <w:t>Restatement (Second) of Torts</w:t>
      </w:r>
      <w:r w:rsidR="00654187">
        <w:rPr>
          <w:i/>
          <w:iCs/>
          <w:color w:val="000000" w:themeColor="text1"/>
          <w:sz w:val="24"/>
        </w:rPr>
        <w:t xml:space="preserve"> </w:t>
      </w:r>
      <w:r w:rsidR="00654187" w:rsidRPr="004F2155">
        <w:rPr>
          <w:color w:val="000000" w:themeColor="text1"/>
          <w:sz w:val="24"/>
        </w:rPr>
        <w:t>§</w:t>
      </w:r>
      <w:r w:rsidR="00654187">
        <w:rPr>
          <w:color w:val="000000" w:themeColor="text1"/>
          <w:sz w:val="24"/>
        </w:rPr>
        <w:t xml:space="preserve"> </w:t>
      </w:r>
      <w:r w:rsidRPr="004F2155">
        <w:rPr>
          <w:color w:val="000000" w:themeColor="text1"/>
          <w:sz w:val="24"/>
        </w:rPr>
        <w:t>563 (1977).</w:t>
      </w:r>
    </w:p>
    <w:p w14:paraId="01117113" w14:textId="77777777" w:rsidR="00157D14" w:rsidRPr="004F2155" w:rsidRDefault="00157D14" w:rsidP="004F2155">
      <w:pPr>
        <w:jc w:val="both"/>
        <w:rPr>
          <w:color w:val="000000" w:themeColor="text1"/>
          <w:sz w:val="24"/>
        </w:rPr>
      </w:pPr>
    </w:p>
  </w:footnote>
  <w:footnote w:id="7">
    <w:p w14:paraId="1DD5AB44" w14:textId="624E6D90" w:rsidR="00014598" w:rsidRDefault="00014598" w:rsidP="004F2155">
      <w:pPr>
        <w:jc w:val="both"/>
        <w:rPr>
          <w:color w:val="000000" w:themeColor="text1"/>
          <w:sz w:val="24"/>
        </w:rPr>
      </w:pPr>
      <w:r w:rsidRPr="004F2155">
        <w:rPr>
          <w:rStyle w:val="FootnoteReference"/>
          <w:color w:val="000000" w:themeColor="text1"/>
          <w:sz w:val="24"/>
          <w:vertAlign w:val="superscript"/>
        </w:rPr>
        <w:footnoteRef/>
      </w:r>
      <w:r w:rsidRPr="004F2155">
        <w:rPr>
          <w:i/>
          <w:color w:val="000000" w:themeColor="text1"/>
          <w:sz w:val="24"/>
        </w:rPr>
        <w:t xml:space="preserve">  See</w:t>
      </w:r>
      <w:r w:rsidRPr="004F2155">
        <w:rPr>
          <w:color w:val="000000" w:themeColor="text1"/>
          <w:sz w:val="24"/>
        </w:rPr>
        <w:t xml:space="preserve"> </w:t>
      </w:r>
      <w:proofErr w:type="spellStart"/>
      <w:r w:rsidRPr="004F2155">
        <w:rPr>
          <w:i/>
          <w:iCs/>
          <w:color w:val="000000" w:themeColor="text1"/>
          <w:sz w:val="24"/>
        </w:rPr>
        <w:t>Gnapinsky</w:t>
      </w:r>
      <w:proofErr w:type="spellEnd"/>
      <w:r w:rsidRPr="004F2155">
        <w:rPr>
          <w:i/>
          <w:iCs/>
          <w:color w:val="000000" w:themeColor="text1"/>
          <w:sz w:val="24"/>
        </w:rPr>
        <w:t xml:space="preserve"> v. </w:t>
      </w:r>
      <w:proofErr w:type="spellStart"/>
      <w:r w:rsidRPr="004F2155">
        <w:rPr>
          <w:i/>
          <w:iCs/>
          <w:color w:val="000000" w:themeColor="text1"/>
          <w:sz w:val="24"/>
        </w:rPr>
        <w:t>Goldyn</w:t>
      </w:r>
      <w:proofErr w:type="spellEnd"/>
      <w:r w:rsidRPr="004F2155">
        <w:rPr>
          <w:color w:val="000000" w:themeColor="text1"/>
          <w:sz w:val="24"/>
        </w:rPr>
        <w:t xml:space="preserve">, 23 </w:t>
      </w:r>
      <w:r w:rsidRPr="004F2155">
        <w:rPr>
          <w:i/>
          <w:iCs/>
          <w:color w:val="000000" w:themeColor="text1"/>
          <w:sz w:val="24"/>
        </w:rPr>
        <w:t>N.J.</w:t>
      </w:r>
      <w:r w:rsidRPr="004F2155">
        <w:rPr>
          <w:color w:val="000000" w:themeColor="text1"/>
          <w:sz w:val="24"/>
        </w:rPr>
        <w:t xml:space="preserve"> 243 (1957); </w:t>
      </w:r>
      <w:r w:rsidRPr="004F2155">
        <w:rPr>
          <w:i/>
          <w:iCs/>
          <w:color w:val="000000" w:themeColor="text1"/>
          <w:sz w:val="24"/>
        </w:rPr>
        <w:t>Scelfo v. Rutgers Univ.</w:t>
      </w:r>
      <w:r w:rsidRPr="004F2155">
        <w:rPr>
          <w:color w:val="000000" w:themeColor="text1"/>
          <w:sz w:val="24"/>
        </w:rPr>
        <w:t xml:space="preserve">, 116 </w:t>
      </w:r>
      <w:r w:rsidRPr="004F2155">
        <w:rPr>
          <w:i/>
          <w:iCs/>
          <w:color w:val="000000" w:themeColor="text1"/>
          <w:sz w:val="24"/>
        </w:rPr>
        <w:t>N.J. Super.</w:t>
      </w:r>
      <w:r w:rsidRPr="004F2155">
        <w:rPr>
          <w:color w:val="000000" w:themeColor="text1"/>
          <w:sz w:val="24"/>
        </w:rPr>
        <w:t xml:space="preserve"> 403 (Law Div. 1971); </w:t>
      </w:r>
      <w:r w:rsidRPr="004F2155">
        <w:rPr>
          <w:i/>
          <w:iCs/>
          <w:color w:val="000000" w:themeColor="text1"/>
          <w:sz w:val="24"/>
        </w:rPr>
        <w:t xml:space="preserve">Dijkstra v. </w:t>
      </w:r>
      <w:proofErr w:type="spellStart"/>
      <w:r w:rsidRPr="004F2155">
        <w:rPr>
          <w:i/>
          <w:iCs/>
          <w:color w:val="000000" w:themeColor="text1"/>
          <w:sz w:val="24"/>
        </w:rPr>
        <w:t>Westerink</w:t>
      </w:r>
      <w:proofErr w:type="spellEnd"/>
      <w:r w:rsidRPr="004F2155">
        <w:rPr>
          <w:color w:val="000000" w:themeColor="text1"/>
          <w:sz w:val="24"/>
        </w:rPr>
        <w:t xml:space="preserve">, 168 </w:t>
      </w:r>
      <w:r w:rsidRPr="004F2155">
        <w:rPr>
          <w:i/>
          <w:iCs/>
          <w:color w:val="000000" w:themeColor="text1"/>
          <w:sz w:val="24"/>
        </w:rPr>
        <w:t>N.J. Super.</w:t>
      </w:r>
      <w:r w:rsidRPr="004F2155">
        <w:rPr>
          <w:color w:val="000000" w:themeColor="text1"/>
          <w:sz w:val="24"/>
        </w:rPr>
        <w:t xml:space="preserve"> 128 (App. Div. 1978); </w:t>
      </w:r>
      <w:r w:rsidRPr="004F2155">
        <w:rPr>
          <w:i/>
          <w:iCs/>
          <w:color w:val="000000" w:themeColor="text1"/>
          <w:sz w:val="24"/>
        </w:rPr>
        <w:t>Restatement (Second) of Torts</w:t>
      </w:r>
      <w:r w:rsidR="00654187">
        <w:rPr>
          <w:i/>
          <w:iCs/>
          <w:color w:val="000000" w:themeColor="text1"/>
          <w:sz w:val="24"/>
        </w:rPr>
        <w:t xml:space="preserve"> </w:t>
      </w:r>
      <w:r w:rsidR="00654187" w:rsidRPr="004F2155">
        <w:rPr>
          <w:color w:val="000000" w:themeColor="text1"/>
          <w:sz w:val="24"/>
        </w:rPr>
        <w:t>§</w:t>
      </w:r>
      <w:r w:rsidR="00654187">
        <w:rPr>
          <w:color w:val="000000" w:themeColor="text1"/>
          <w:sz w:val="24"/>
        </w:rPr>
        <w:t xml:space="preserve"> </w:t>
      </w:r>
      <w:r w:rsidRPr="004F2155">
        <w:rPr>
          <w:color w:val="000000" w:themeColor="text1"/>
          <w:sz w:val="24"/>
        </w:rPr>
        <w:t xml:space="preserve">564 (1977).  Where the defamatory statement concerns a group or class of persons of which plaintiff is a member, the plaintiff must establish some reasonable application of the words to </w:t>
      </w:r>
      <w:r w:rsidR="008504B4">
        <w:rPr>
          <w:color w:val="000000" w:themeColor="text1"/>
          <w:sz w:val="24"/>
        </w:rPr>
        <w:t>[plaintiff]</w:t>
      </w:r>
      <w:r w:rsidRPr="004F2155">
        <w:rPr>
          <w:color w:val="000000" w:themeColor="text1"/>
          <w:sz w:val="24"/>
        </w:rPr>
        <w:t xml:space="preserve">.  </w:t>
      </w:r>
      <w:r w:rsidRPr="004F2155">
        <w:rPr>
          <w:i/>
          <w:color w:val="000000" w:themeColor="text1"/>
          <w:sz w:val="24"/>
        </w:rPr>
        <w:t>See</w:t>
      </w:r>
      <w:r w:rsidRPr="004F2155">
        <w:rPr>
          <w:color w:val="000000" w:themeColor="text1"/>
          <w:sz w:val="24"/>
        </w:rPr>
        <w:t xml:space="preserve"> </w:t>
      </w:r>
      <w:r w:rsidRPr="004F2155">
        <w:rPr>
          <w:i/>
          <w:iCs/>
          <w:color w:val="000000" w:themeColor="text1"/>
          <w:sz w:val="24"/>
        </w:rPr>
        <w:t>Mick v. American Dental Ass’n</w:t>
      </w:r>
      <w:r w:rsidRPr="004F2155">
        <w:rPr>
          <w:color w:val="000000" w:themeColor="text1"/>
          <w:sz w:val="24"/>
        </w:rPr>
        <w:t xml:space="preserve">, 49 </w:t>
      </w:r>
      <w:r w:rsidRPr="004F2155">
        <w:rPr>
          <w:i/>
          <w:iCs/>
          <w:color w:val="000000" w:themeColor="text1"/>
          <w:sz w:val="24"/>
        </w:rPr>
        <w:t>N.J. Super.</w:t>
      </w:r>
      <w:r w:rsidRPr="004F2155">
        <w:rPr>
          <w:color w:val="000000" w:themeColor="text1"/>
          <w:sz w:val="24"/>
        </w:rPr>
        <w:t xml:space="preserve"> 262, 285</w:t>
      </w:r>
      <w:r w:rsidRPr="004F2155">
        <w:rPr>
          <w:color w:val="000000" w:themeColor="text1"/>
          <w:sz w:val="24"/>
        </w:rPr>
        <w:noBreakHyphen/>
        <w:t xml:space="preserve">87 (App. Div. 1958); </w:t>
      </w:r>
      <w:r w:rsidRPr="004F2155">
        <w:rPr>
          <w:i/>
          <w:iCs/>
          <w:color w:val="000000" w:themeColor="text1"/>
          <w:sz w:val="24"/>
        </w:rPr>
        <w:t>Restatement (Second) of Torts</w:t>
      </w:r>
      <w:r w:rsidR="00BB245A">
        <w:rPr>
          <w:i/>
          <w:iCs/>
          <w:color w:val="000000" w:themeColor="text1"/>
          <w:sz w:val="24"/>
        </w:rPr>
        <w:t xml:space="preserve"> </w:t>
      </w:r>
      <w:r w:rsidR="00BB245A" w:rsidRPr="004F2155">
        <w:rPr>
          <w:color w:val="000000" w:themeColor="text1"/>
          <w:sz w:val="24"/>
        </w:rPr>
        <w:t>§</w:t>
      </w:r>
      <w:r w:rsidR="00BB245A">
        <w:rPr>
          <w:color w:val="000000" w:themeColor="text1"/>
          <w:sz w:val="24"/>
        </w:rPr>
        <w:t xml:space="preserve"> </w:t>
      </w:r>
      <w:r w:rsidRPr="004F2155">
        <w:rPr>
          <w:color w:val="000000" w:themeColor="text1"/>
          <w:sz w:val="24"/>
        </w:rPr>
        <w:t>564A (1977).</w:t>
      </w:r>
    </w:p>
    <w:p w14:paraId="638023D2" w14:textId="77777777" w:rsidR="00654187" w:rsidRPr="004F2155" w:rsidRDefault="00654187" w:rsidP="004F2155">
      <w:pPr>
        <w:jc w:val="both"/>
        <w:rPr>
          <w:color w:val="000000" w:themeColor="text1"/>
          <w:sz w:val="24"/>
        </w:rPr>
      </w:pPr>
    </w:p>
  </w:footnote>
  <w:footnote w:id="8">
    <w:p w14:paraId="29180B33" w14:textId="41F38007" w:rsidR="00014598" w:rsidRPr="004F2155" w:rsidRDefault="00014598" w:rsidP="004F2155">
      <w:pPr>
        <w:jc w:val="both"/>
        <w:rPr>
          <w:color w:val="000000" w:themeColor="text1"/>
          <w:sz w:val="24"/>
        </w:rPr>
      </w:pPr>
      <w:r w:rsidRPr="004F2155">
        <w:rPr>
          <w:rStyle w:val="FootnoteReference"/>
          <w:color w:val="000000" w:themeColor="text1"/>
          <w:sz w:val="24"/>
          <w:vertAlign w:val="superscript"/>
        </w:rPr>
        <w:footnoteRef/>
      </w:r>
      <w:r w:rsidRPr="004F2155">
        <w:rPr>
          <w:i/>
          <w:color w:val="000000" w:themeColor="text1"/>
          <w:sz w:val="24"/>
        </w:rPr>
        <w:t xml:space="preserve">  See</w:t>
      </w:r>
      <w:r w:rsidRPr="004F2155">
        <w:rPr>
          <w:color w:val="000000" w:themeColor="text1"/>
          <w:sz w:val="24"/>
        </w:rPr>
        <w:t xml:space="preserve"> </w:t>
      </w:r>
      <w:r w:rsidRPr="004F2155">
        <w:rPr>
          <w:i/>
          <w:iCs/>
          <w:color w:val="000000" w:themeColor="text1"/>
          <w:sz w:val="24"/>
        </w:rPr>
        <w:t>Pitts v. Newark Bd. of Educ., supra</w:t>
      </w:r>
      <w:r w:rsidRPr="004F2155">
        <w:rPr>
          <w:color w:val="000000" w:themeColor="text1"/>
          <w:sz w:val="24"/>
        </w:rPr>
        <w:t xml:space="preserve">; </w:t>
      </w:r>
      <w:r w:rsidRPr="004F2155">
        <w:rPr>
          <w:i/>
          <w:iCs/>
          <w:color w:val="000000" w:themeColor="text1"/>
          <w:sz w:val="24"/>
        </w:rPr>
        <w:t>Rocci v. Ecole Secondaire, supra</w:t>
      </w:r>
      <w:r w:rsidRPr="004F2155">
        <w:rPr>
          <w:color w:val="000000" w:themeColor="text1"/>
          <w:sz w:val="24"/>
        </w:rPr>
        <w:t xml:space="preserve"> (where the Supreme Court stated that defamation exists where the defendant otherwise acted with reckless disregard of truth); </w:t>
      </w:r>
      <w:r w:rsidRPr="004F2155">
        <w:rPr>
          <w:i/>
          <w:iCs/>
          <w:color w:val="000000" w:themeColor="text1"/>
          <w:sz w:val="24"/>
        </w:rPr>
        <w:t xml:space="preserve">also see </w:t>
      </w:r>
      <w:r w:rsidRPr="004F2155">
        <w:rPr>
          <w:color w:val="000000" w:themeColor="text1"/>
          <w:sz w:val="24"/>
        </w:rPr>
        <w:t xml:space="preserve">footnote 10 concerning the fifth element as to definition in defamation law of the term “actual malice.”  </w:t>
      </w:r>
      <w:r w:rsidRPr="004F2155">
        <w:rPr>
          <w:i/>
          <w:iCs/>
          <w:color w:val="000000" w:themeColor="text1"/>
          <w:sz w:val="24"/>
        </w:rPr>
        <w:t>Philadelphia Newspapers, Inc. v. Hepps</w:t>
      </w:r>
      <w:r w:rsidRPr="004F2155">
        <w:rPr>
          <w:color w:val="000000" w:themeColor="text1"/>
          <w:sz w:val="24"/>
        </w:rPr>
        <w:t xml:space="preserve">, 475 </w:t>
      </w:r>
      <w:r w:rsidRPr="004F2155">
        <w:rPr>
          <w:i/>
          <w:iCs/>
          <w:color w:val="000000" w:themeColor="text1"/>
          <w:sz w:val="24"/>
        </w:rPr>
        <w:t>U.S.</w:t>
      </w:r>
      <w:r w:rsidRPr="004F2155">
        <w:rPr>
          <w:color w:val="000000" w:themeColor="text1"/>
          <w:sz w:val="24"/>
        </w:rPr>
        <w:t xml:space="preserve"> 767, 106 </w:t>
      </w:r>
      <w:r w:rsidRPr="004F2155">
        <w:rPr>
          <w:i/>
          <w:iCs/>
          <w:color w:val="000000" w:themeColor="text1"/>
          <w:sz w:val="24"/>
        </w:rPr>
        <w:t>S.Ct.</w:t>
      </w:r>
      <w:r w:rsidRPr="004F2155">
        <w:rPr>
          <w:color w:val="000000" w:themeColor="text1"/>
          <w:sz w:val="24"/>
        </w:rPr>
        <w:t xml:space="preserve"> 1558, 89 </w:t>
      </w:r>
      <w:r w:rsidRPr="004F2155">
        <w:rPr>
          <w:i/>
          <w:color w:val="000000" w:themeColor="text1"/>
          <w:sz w:val="24"/>
        </w:rPr>
        <w:t>L.Ed.</w:t>
      </w:r>
      <w:r w:rsidRPr="004F2155">
        <w:rPr>
          <w:color w:val="000000" w:themeColor="text1"/>
          <w:sz w:val="24"/>
        </w:rPr>
        <w:t xml:space="preserve"> 2d 783 (1986); </w:t>
      </w:r>
      <w:r w:rsidRPr="004F2155">
        <w:rPr>
          <w:i/>
          <w:iCs/>
          <w:color w:val="000000" w:themeColor="text1"/>
          <w:sz w:val="24"/>
        </w:rPr>
        <w:t>Sisler v. Gannett Co. Inc.</w:t>
      </w:r>
      <w:r w:rsidRPr="004F2155">
        <w:rPr>
          <w:color w:val="000000" w:themeColor="text1"/>
          <w:sz w:val="24"/>
        </w:rPr>
        <w:t xml:space="preserve">, 104 </w:t>
      </w:r>
      <w:r w:rsidRPr="004F2155">
        <w:rPr>
          <w:i/>
          <w:iCs/>
          <w:color w:val="000000" w:themeColor="text1"/>
          <w:sz w:val="24"/>
        </w:rPr>
        <w:t>N.J.</w:t>
      </w:r>
      <w:r w:rsidRPr="004F2155">
        <w:rPr>
          <w:color w:val="000000" w:themeColor="text1"/>
          <w:sz w:val="24"/>
        </w:rPr>
        <w:t xml:space="preserve"> 256 (1986); </w:t>
      </w:r>
      <w:r w:rsidRPr="004F2155">
        <w:rPr>
          <w:i/>
          <w:iCs/>
          <w:color w:val="000000" w:themeColor="text1"/>
          <w:sz w:val="24"/>
        </w:rPr>
        <w:t>Herrmann v. Newark Morning Ledger Co.</w:t>
      </w:r>
      <w:r w:rsidRPr="004F2155">
        <w:rPr>
          <w:color w:val="000000" w:themeColor="text1"/>
          <w:sz w:val="24"/>
        </w:rPr>
        <w:t xml:space="preserve">, 48 </w:t>
      </w:r>
      <w:r w:rsidRPr="004F2155">
        <w:rPr>
          <w:i/>
          <w:iCs/>
          <w:color w:val="000000" w:themeColor="text1"/>
          <w:sz w:val="24"/>
        </w:rPr>
        <w:t>N.J. Super.</w:t>
      </w:r>
      <w:r w:rsidRPr="004F2155">
        <w:rPr>
          <w:color w:val="000000" w:themeColor="text1"/>
          <w:sz w:val="24"/>
        </w:rPr>
        <w:t xml:space="preserve"> 420 (App. Div. 1958), </w:t>
      </w:r>
      <w:r w:rsidRPr="004F2155">
        <w:rPr>
          <w:i/>
          <w:iCs/>
          <w:color w:val="000000" w:themeColor="text1"/>
          <w:sz w:val="24"/>
        </w:rPr>
        <w:t>aff’d on reh’g</w:t>
      </w:r>
      <w:r w:rsidRPr="004F2155">
        <w:rPr>
          <w:color w:val="000000" w:themeColor="text1"/>
          <w:sz w:val="24"/>
        </w:rPr>
        <w:t xml:space="preserve">, 49 </w:t>
      </w:r>
      <w:r w:rsidRPr="004F2155">
        <w:rPr>
          <w:i/>
          <w:iCs/>
          <w:color w:val="000000" w:themeColor="text1"/>
          <w:sz w:val="24"/>
        </w:rPr>
        <w:t>N.J. Super.</w:t>
      </w:r>
      <w:r w:rsidRPr="004F2155">
        <w:rPr>
          <w:color w:val="000000" w:themeColor="text1"/>
          <w:sz w:val="24"/>
        </w:rPr>
        <w:t xml:space="preserve"> 551 (App. Div. 1958); </w:t>
      </w:r>
      <w:r w:rsidRPr="004F2155">
        <w:rPr>
          <w:i/>
          <w:iCs/>
          <w:color w:val="000000" w:themeColor="text1"/>
          <w:sz w:val="24"/>
        </w:rPr>
        <w:t>LaRocca v. New York News, Inc.</w:t>
      </w:r>
      <w:r w:rsidRPr="004F2155">
        <w:rPr>
          <w:color w:val="000000" w:themeColor="text1"/>
          <w:sz w:val="24"/>
        </w:rPr>
        <w:t xml:space="preserve">, 156 </w:t>
      </w:r>
      <w:r w:rsidRPr="004F2155">
        <w:rPr>
          <w:i/>
          <w:iCs/>
          <w:color w:val="000000" w:themeColor="text1"/>
          <w:sz w:val="24"/>
        </w:rPr>
        <w:t>N.J. Super.</w:t>
      </w:r>
      <w:r w:rsidRPr="004F2155">
        <w:rPr>
          <w:color w:val="000000" w:themeColor="text1"/>
          <w:sz w:val="24"/>
        </w:rPr>
        <w:t xml:space="preserve"> 59 (App. Div. 1978); </w:t>
      </w:r>
      <w:r w:rsidRPr="004F2155">
        <w:rPr>
          <w:i/>
          <w:iCs/>
          <w:color w:val="000000" w:themeColor="text1"/>
          <w:sz w:val="24"/>
        </w:rPr>
        <w:t>Scelfo v. Rutgers Univ.</w:t>
      </w:r>
      <w:r w:rsidRPr="004F2155">
        <w:rPr>
          <w:color w:val="000000" w:themeColor="text1"/>
          <w:sz w:val="24"/>
        </w:rPr>
        <w:t xml:space="preserve">, </w:t>
      </w:r>
      <w:r w:rsidRPr="004F2155">
        <w:rPr>
          <w:i/>
          <w:color w:val="000000" w:themeColor="text1"/>
          <w:sz w:val="24"/>
        </w:rPr>
        <w:t>supra</w:t>
      </w:r>
      <w:r w:rsidRPr="004F2155">
        <w:rPr>
          <w:color w:val="000000" w:themeColor="text1"/>
          <w:sz w:val="24"/>
        </w:rPr>
        <w:t xml:space="preserve">; </w:t>
      </w:r>
      <w:r w:rsidRPr="004F2155">
        <w:rPr>
          <w:i/>
          <w:iCs/>
          <w:color w:val="000000" w:themeColor="text1"/>
          <w:sz w:val="24"/>
        </w:rPr>
        <w:t>Dorney v. Dairymen’s League Co</w:t>
      </w:r>
      <w:r w:rsidRPr="004F2155">
        <w:rPr>
          <w:i/>
          <w:iCs/>
          <w:color w:val="000000" w:themeColor="text1"/>
          <w:sz w:val="24"/>
        </w:rPr>
        <w:noBreakHyphen/>
        <w:t>op. Ass’n</w:t>
      </w:r>
      <w:r w:rsidRPr="004F2155">
        <w:rPr>
          <w:color w:val="000000" w:themeColor="text1"/>
          <w:sz w:val="24"/>
        </w:rPr>
        <w:t xml:space="preserve">, 149 </w:t>
      </w:r>
      <w:r w:rsidRPr="004F2155">
        <w:rPr>
          <w:i/>
          <w:iCs/>
          <w:color w:val="000000" w:themeColor="text1"/>
          <w:sz w:val="24"/>
        </w:rPr>
        <w:t>F. Supp.</w:t>
      </w:r>
      <w:r w:rsidRPr="004F2155">
        <w:rPr>
          <w:color w:val="000000" w:themeColor="text1"/>
          <w:sz w:val="24"/>
        </w:rPr>
        <w:t xml:space="preserve"> 615 (D.N.J. 1957); </w:t>
      </w:r>
      <w:r w:rsidRPr="004F2155">
        <w:rPr>
          <w:i/>
          <w:iCs/>
          <w:color w:val="000000" w:themeColor="text1"/>
          <w:sz w:val="24"/>
        </w:rPr>
        <w:t>Restatement (Second) of Torts</w:t>
      </w:r>
      <w:r w:rsidR="00BB245A">
        <w:rPr>
          <w:i/>
          <w:iCs/>
          <w:color w:val="000000" w:themeColor="text1"/>
          <w:sz w:val="24"/>
        </w:rPr>
        <w:t xml:space="preserve"> </w:t>
      </w:r>
      <w:r w:rsidR="00BB245A" w:rsidRPr="004F2155">
        <w:rPr>
          <w:color w:val="000000" w:themeColor="text1"/>
          <w:sz w:val="24"/>
        </w:rPr>
        <w:t>§</w:t>
      </w:r>
      <w:r w:rsidR="00BB245A">
        <w:rPr>
          <w:color w:val="000000" w:themeColor="text1"/>
          <w:sz w:val="24"/>
        </w:rPr>
        <w:t xml:space="preserve"> </w:t>
      </w:r>
      <w:r w:rsidRPr="004F2155">
        <w:rPr>
          <w:color w:val="000000" w:themeColor="text1"/>
          <w:sz w:val="24"/>
        </w:rPr>
        <w:t>581A (1977).</w:t>
      </w:r>
    </w:p>
  </w:footnote>
  <w:footnote w:id="9">
    <w:p w14:paraId="1A725F8C" w14:textId="74CC8292" w:rsidR="00014598" w:rsidRDefault="00014598" w:rsidP="004F2155">
      <w:pPr>
        <w:jc w:val="both"/>
        <w:rPr>
          <w:color w:val="000000" w:themeColor="text1"/>
          <w:sz w:val="24"/>
        </w:rPr>
      </w:pPr>
      <w:r w:rsidRPr="004F2155">
        <w:rPr>
          <w:rStyle w:val="FootnoteReference"/>
          <w:color w:val="000000" w:themeColor="text1"/>
          <w:sz w:val="24"/>
          <w:vertAlign w:val="superscript"/>
        </w:rPr>
        <w:footnoteRef/>
      </w:r>
      <w:r w:rsidRPr="004F2155">
        <w:rPr>
          <w:i/>
          <w:iCs/>
          <w:color w:val="000000" w:themeColor="text1"/>
          <w:sz w:val="24"/>
        </w:rPr>
        <w:t xml:space="preserve">  See</w:t>
      </w:r>
      <w:r w:rsidRPr="004F2155">
        <w:rPr>
          <w:color w:val="000000" w:themeColor="text1"/>
          <w:sz w:val="24"/>
        </w:rPr>
        <w:t xml:space="preserve"> </w:t>
      </w:r>
      <w:proofErr w:type="spellStart"/>
      <w:r w:rsidRPr="004F2155">
        <w:rPr>
          <w:i/>
          <w:iCs/>
          <w:color w:val="000000" w:themeColor="text1"/>
          <w:sz w:val="24"/>
        </w:rPr>
        <w:t>Gnapinsky</w:t>
      </w:r>
      <w:proofErr w:type="spellEnd"/>
      <w:r w:rsidRPr="004F2155">
        <w:rPr>
          <w:i/>
          <w:iCs/>
          <w:color w:val="000000" w:themeColor="text1"/>
          <w:sz w:val="24"/>
        </w:rPr>
        <w:t xml:space="preserve"> v. </w:t>
      </w:r>
      <w:proofErr w:type="spellStart"/>
      <w:r w:rsidRPr="004F2155">
        <w:rPr>
          <w:i/>
          <w:iCs/>
          <w:color w:val="000000" w:themeColor="text1"/>
          <w:sz w:val="24"/>
        </w:rPr>
        <w:t>Goldyn</w:t>
      </w:r>
      <w:proofErr w:type="spellEnd"/>
      <w:r w:rsidRPr="004F2155">
        <w:rPr>
          <w:color w:val="000000" w:themeColor="text1"/>
          <w:sz w:val="24"/>
        </w:rPr>
        <w:t xml:space="preserve">, </w:t>
      </w:r>
      <w:r w:rsidRPr="004F2155">
        <w:rPr>
          <w:i/>
          <w:color w:val="000000" w:themeColor="text1"/>
          <w:sz w:val="24"/>
        </w:rPr>
        <w:t>supra</w:t>
      </w:r>
      <w:r w:rsidRPr="004F2155">
        <w:rPr>
          <w:color w:val="000000" w:themeColor="text1"/>
          <w:sz w:val="24"/>
        </w:rPr>
        <w:t xml:space="preserve"> at</w:t>
      </w:r>
      <w:r w:rsidRPr="004F2155">
        <w:rPr>
          <w:i/>
          <w:color w:val="000000" w:themeColor="text1"/>
          <w:sz w:val="24"/>
        </w:rPr>
        <w:t xml:space="preserve"> </w:t>
      </w:r>
      <w:r w:rsidRPr="004F2155">
        <w:rPr>
          <w:color w:val="000000" w:themeColor="text1"/>
          <w:sz w:val="24"/>
        </w:rPr>
        <w:t>252</w:t>
      </w:r>
      <w:r w:rsidRPr="004F2155">
        <w:rPr>
          <w:color w:val="000000" w:themeColor="text1"/>
          <w:sz w:val="24"/>
        </w:rPr>
        <w:noBreakHyphen/>
        <w:t xml:space="preserve">53; </w:t>
      </w:r>
      <w:r w:rsidRPr="004F2155">
        <w:rPr>
          <w:i/>
          <w:iCs/>
          <w:color w:val="000000" w:themeColor="text1"/>
          <w:sz w:val="24"/>
        </w:rPr>
        <w:t>Restatement (Second) of Torts</w:t>
      </w:r>
      <w:r w:rsidR="00BB245A">
        <w:rPr>
          <w:color w:val="000000" w:themeColor="text1"/>
          <w:sz w:val="24"/>
        </w:rPr>
        <w:t xml:space="preserve"> </w:t>
      </w:r>
      <w:r w:rsidR="00BB245A" w:rsidRPr="004F2155">
        <w:rPr>
          <w:color w:val="000000" w:themeColor="text1"/>
          <w:sz w:val="24"/>
        </w:rPr>
        <w:t>§</w:t>
      </w:r>
      <w:r w:rsidR="00BB245A">
        <w:rPr>
          <w:color w:val="000000" w:themeColor="text1"/>
          <w:sz w:val="24"/>
        </w:rPr>
        <w:t xml:space="preserve"> </w:t>
      </w:r>
      <w:r w:rsidRPr="004F2155">
        <w:rPr>
          <w:color w:val="000000" w:themeColor="text1"/>
          <w:sz w:val="24"/>
        </w:rPr>
        <w:t xml:space="preserve">577 (1977).  </w:t>
      </w:r>
      <w:r w:rsidRPr="004F2155">
        <w:rPr>
          <w:iCs/>
          <w:color w:val="000000" w:themeColor="text1"/>
          <w:sz w:val="24"/>
        </w:rPr>
        <w:t>Note</w:t>
      </w:r>
      <w:r w:rsidRPr="004F2155">
        <w:rPr>
          <w:color w:val="000000" w:themeColor="text1"/>
          <w:sz w:val="24"/>
        </w:rPr>
        <w:t xml:space="preserve"> that the communication of a defamatory statement to a third person may be qualifiedly privileged.  </w:t>
      </w:r>
      <w:r w:rsidRPr="004F2155">
        <w:rPr>
          <w:i/>
          <w:iCs/>
          <w:color w:val="000000" w:themeColor="text1"/>
          <w:sz w:val="24"/>
        </w:rPr>
        <w:t>See</w:t>
      </w:r>
      <w:r w:rsidRPr="004F2155">
        <w:rPr>
          <w:color w:val="000000" w:themeColor="text1"/>
          <w:sz w:val="24"/>
        </w:rPr>
        <w:t xml:space="preserve"> text and footnotes on Qualified Privilege under “Private Defamation” (Charge 3.11B), </w:t>
      </w:r>
      <w:r w:rsidRPr="004F2155">
        <w:rPr>
          <w:i/>
          <w:iCs/>
          <w:color w:val="000000" w:themeColor="text1"/>
          <w:sz w:val="24"/>
        </w:rPr>
        <w:t>infra</w:t>
      </w:r>
      <w:r w:rsidRPr="004F2155">
        <w:rPr>
          <w:color w:val="000000" w:themeColor="text1"/>
          <w:sz w:val="24"/>
        </w:rPr>
        <w:t>.</w:t>
      </w:r>
    </w:p>
    <w:p w14:paraId="0A6C2CC3" w14:textId="77777777" w:rsidR="00BB245A" w:rsidRPr="004F2155" w:rsidRDefault="00BB245A" w:rsidP="004F2155">
      <w:pPr>
        <w:jc w:val="both"/>
        <w:rPr>
          <w:color w:val="000000" w:themeColor="text1"/>
          <w:sz w:val="24"/>
        </w:rPr>
      </w:pPr>
    </w:p>
  </w:footnote>
  <w:footnote w:id="10">
    <w:p w14:paraId="30C8444B" w14:textId="1C136325" w:rsidR="00014598" w:rsidRPr="004F2155" w:rsidRDefault="00014598" w:rsidP="004F2155">
      <w:pPr>
        <w:jc w:val="both"/>
        <w:rPr>
          <w:color w:val="000000" w:themeColor="text1"/>
          <w:sz w:val="24"/>
        </w:rPr>
      </w:pPr>
      <w:r w:rsidRPr="004F2155">
        <w:rPr>
          <w:rStyle w:val="FootnoteReference"/>
          <w:color w:val="000000" w:themeColor="text1"/>
          <w:sz w:val="24"/>
          <w:vertAlign w:val="superscript"/>
        </w:rPr>
        <w:footnoteRef/>
      </w:r>
      <w:r w:rsidRPr="004F2155">
        <w:rPr>
          <w:i/>
          <w:iCs/>
          <w:color w:val="000000" w:themeColor="text1"/>
          <w:sz w:val="24"/>
        </w:rPr>
        <w:t xml:space="preserve">  See</w:t>
      </w:r>
      <w:r w:rsidRPr="004F2155">
        <w:rPr>
          <w:color w:val="000000" w:themeColor="text1"/>
          <w:sz w:val="24"/>
        </w:rPr>
        <w:t xml:space="preserve"> </w:t>
      </w:r>
      <w:r w:rsidRPr="004F2155">
        <w:rPr>
          <w:i/>
          <w:iCs/>
          <w:color w:val="000000" w:themeColor="text1"/>
          <w:sz w:val="24"/>
        </w:rPr>
        <w:t>Restatement (Second) of Torts</w:t>
      </w:r>
      <w:r w:rsidR="00BB245A">
        <w:rPr>
          <w:i/>
          <w:iCs/>
          <w:color w:val="000000" w:themeColor="text1"/>
          <w:sz w:val="24"/>
        </w:rPr>
        <w:t xml:space="preserve"> </w:t>
      </w:r>
      <w:r w:rsidR="00BB245A" w:rsidRPr="004F2155">
        <w:rPr>
          <w:color w:val="000000" w:themeColor="text1"/>
          <w:sz w:val="24"/>
        </w:rPr>
        <w:t>§</w:t>
      </w:r>
      <w:r w:rsidR="00BB245A">
        <w:rPr>
          <w:color w:val="000000" w:themeColor="text1"/>
          <w:sz w:val="24"/>
        </w:rPr>
        <w:t xml:space="preserve"> </w:t>
      </w:r>
      <w:r w:rsidRPr="004F2155">
        <w:rPr>
          <w:color w:val="000000" w:themeColor="text1"/>
          <w:sz w:val="24"/>
        </w:rPr>
        <w:t>577</w:t>
      </w:r>
      <w:r w:rsidR="00BB245A">
        <w:rPr>
          <w:color w:val="000000" w:themeColor="text1"/>
          <w:sz w:val="24"/>
        </w:rPr>
        <w:t xml:space="preserve">, </w:t>
      </w:r>
      <w:proofErr w:type="spellStart"/>
      <w:r w:rsidR="00BB245A">
        <w:rPr>
          <w:color w:val="000000" w:themeColor="text1"/>
          <w:sz w:val="24"/>
        </w:rPr>
        <w:t>cmts</w:t>
      </w:r>
      <w:proofErr w:type="spellEnd"/>
      <w:r w:rsidR="00BB245A">
        <w:rPr>
          <w:color w:val="000000" w:themeColor="text1"/>
          <w:sz w:val="24"/>
        </w:rPr>
        <w:t>. b-c</w:t>
      </w:r>
      <w:r w:rsidR="00BB245A" w:rsidRPr="00BB245A">
        <w:rPr>
          <w:color w:val="000000" w:themeColor="text1"/>
          <w:sz w:val="24"/>
        </w:rPr>
        <w:t xml:space="preserve"> </w:t>
      </w:r>
      <w:r w:rsidRPr="004F2155">
        <w:rPr>
          <w:color w:val="000000" w:themeColor="text1"/>
          <w:sz w:val="24"/>
        </w:rPr>
        <w:t>(1977)</w:t>
      </w:r>
      <w:r w:rsidR="00BB245A">
        <w:rPr>
          <w:color w:val="000000" w:themeColor="text1"/>
          <w:sz w:val="24"/>
        </w:rPr>
        <w:t>;</w:t>
      </w:r>
      <w:r w:rsidRPr="004F2155">
        <w:rPr>
          <w:i/>
          <w:iCs/>
          <w:color w:val="000000" w:themeColor="text1"/>
          <w:sz w:val="24"/>
        </w:rPr>
        <w:t xml:space="preserve"> </w:t>
      </w:r>
      <w:proofErr w:type="spellStart"/>
      <w:r w:rsidRPr="004F2155">
        <w:rPr>
          <w:i/>
          <w:iCs/>
          <w:color w:val="000000" w:themeColor="text1"/>
          <w:sz w:val="24"/>
        </w:rPr>
        <w:t>Rocci</w:t>
      </w:r>
      <w:proofErr w:type="spellEnd"/>
      <w:r w:rsidRPr="004F2155">
        <w:rPr>
          <w:i/>
          <w:iCs/>
          <w:color w:val="000000" w:themeColor="text1"/>
          <w:sz w:val="24"/>
        </w:rPr>
        <w:t xml:space="preserve"> v. Ecole Secondaire, supra</w:t>
      </w:r>
      <w:r w:rsidRPr="004F2155">
        <w:rPr>
          <w:color w:val="000000" w:themeColor="text1"/>
          <w:sz w:val="24"/>
        </w:rPr>
        <w:t>;</w:t>
      </w:r>
      <w:r w:rsidRPr="004F2155">
        <w:rPr>
          <w:i/>
          <w:iCs/>
          <w:color w:val="000000" w:themeColor="text1"/>
          <w:sz w:val="24"/>
        </w:rPr>
        <w:t xml:space="preserve"> Pitts v. Newark Bd. of Educ., supra</w:t>
      </w:r>
      <w:r w:rsidRPr="004F2155">
        <w:rPr>
          <w:color w:val="000000" w:themeColor="text1"/>
          <w:sz w:val="24"/>
        </w:rPr>
        <w:t xml:space="preserve"> (courts have held that a plaintiff should not be able to recover for the harm flowing from republication of a defamatory statement when the plaintiff knowingly causes the material to be distributed).</w:t>
      </w:r>
    </w:p>
  </w:footnote>
  <w:footnote w:id="11">
    <w:p w14:paraId="0DF0C133" w14:textId="4BC8D68A" w:rsidR="00014598" w:rsidRDefault="00014598" w:rsidP="004F2155">
      <w:pPr>
        <w:jc w:val="both"/>
        <w:rPr>
          <w:color w:val="000000" w:themeColor="text1"/>
          <w:sz w:val="24"/>
        </w:rPr>
      </w:pPr>
      <w:r w:rsidRPr="004F2155">
        <w:rPr>
          <w:rStyle w:val="FootnoteReference"/>
          <w:color w:val="000000" w:themeColor="text1"/>
          <w:sz w:val="24"/>
          <w:vertAlign w:val="superscript"/>
        </w:rPr>
        <w:footnoteRef/>
      </w:r>
      <w:r w:rsidRPr="004F2155">
        <w:rPr>
          <w:color w:val="000000" w:themeColor="text1"/>
          <w:sz w:val="24"/>
        </w:rPr>
        <w:t xml:space="preserve">  The plaintiff must prove “actual malice” which exists when a defendant has actual knowledge that the statement </w:t>
      </w:r>
      <w:r w:rsidR="008525DA">
        <w:rPr>
          <w:color w:val="000000" w:themeColor="text1"/>
          <w:sz w:val="24"/>
        </w:rPr>
        <w:t>defendant</w:t>
      </w:r>
      <w:r w:rsidRPr="004F2155">
        <w:rPr>
          <w:color w:val="000000" w:themeColor="text1"/>
          <w:sz w:val="24"/>
        </w:rPr>
        <w:t xml:space="preserve"> is making is false or when </w:t>
      </w:r>
      <w:r w:rsidR="008525DA">
        <w:rPr>
          <w:color w:val="000000" w:themeColor="text1"/>
          <w:sz w:val="24"/>
        </w:rPr>
        <w:t>defendant</w:t>
      </w:r>
      <w:r w:rsidRPr="004F2155">
        <w:rPr>
          <w:color w:val="000000" w:themeColor="text1"/>
          <w:sz w:val="24"/>
        </w:rPr>
        <w:t xml:space="preserve"> entertains serious doubts as to its truth. </w:t>
      </w:r>
      <w:r w:rsidRPr="004F2155">
        <w:rPr>
          <w:i/>
          <w:iCs/>
          <w:color w:val="000000" w:themeColor="text1"/>
          <w:sz w:val="24"/>
        </w:rPr>
        <w:t>See Pitts v. Newark Bd. of Educ., supra</w:t>
      </w:r>
      <w:r w:rsidRPr="004F2155">
        <w:rPr>
          <w:color w:val="000000" w:themeColor="text1"/>
          <w:sz w:val="24"/>
        </w:rPr>
        <w:t>;</w:t>
      </w:r>
      <w:r w:rsidRPr="004F2155">
        <w:rPr>
          <w:i/>
          <w:iCs/>
          <w:color w:val="000000" w:themeColor="text1"/>
          <w:sz w:val="24"/>
        </w:rPr>
        <w:t xml:space="preserve"> Burke v. Deiner</w:t>
      </w:r>
      <w:r w:rsidRPr="004F2155">
        <w:rPr>
          <w:color w:val="000000" w:themeColor="text1"/>
          <w:sz w:val="24"/>
        </w:rPr>
        <w:t>,</w:t>
      </w:r>
      <w:r w:rsidRPr="004F2155">
        <w:rPr>
          <w:i/>
          <w:iCs/>
          <w:color w:val="000000" w:themeColor="text1"/>
          <w:sz w:val="24"/>
        </w:rPr>
        <w:t xml:space="preserve"> supra</w:t>
      </w:r>
      <w:r w:rsidRPr="004F2155">
        <w:rPr>
          <w:color w:val="000000" w:themeColor="text1"/>
          <w:sz w:val="24"/>
        </w:rPr>
        <w:t xml:space="preserve">; </w:t>
      </w:r>
      <w:r w:rsidRPr="004F2155">
        <w:rPr>
          <w:i/>
          <w:iCs/>
          <w:color w:val="000000" w:themeColor="text1"/>
          <w:sz w:val="24"/>
        </w:rPr>
        <w:t>see</w:t>
      </w:r>
      <w:r w:rsidRPr="004F2155">
        <w:rPr>
          <w:color w:val="000000" w:themeColor="text1"/>
          <w:sz w:val="24"/>
        </w:rPr>
        <w:t xml:space="preserve"> </w:t>
      </w:r>
      <w:r w:rsidRPr="004F2155">
        <w:rPr>
          <w:i/>
          <w:iCs/>
          <w:color w:val="000000" w:themeColor="text1"/>
          <w:sz w:val="24"/>
        </w:rPr>
        <w:t>New York Times v. Sullivan</w:t>
      </w:r>
      <w:r w:rsidRPr="004F2155">
        <w:rPr>
          <w:color w:val="000000" w:themeColor="text1"/>
          <w:sz w:val="24"/>
        </w:rPr>
        <w:t xml:space="preserve">, </w:t>
      </w:r>
      <w:r w:rsidRPr="004F2155">
        <w:rPr>
          <w:i/>
          <w:color w:val="000000" w:themeColor="text1"/>
          <w:sz w:val="24"/>
        </w:rPr>
        <w:t>supra</w:t>
      </w:r>
      <w:r w:rsidRPr="004F2155">
        <w:rPr>
          <w:color w:val="000000" w:themeColor="text1"/>
          <w:sz w:val="24"/>
        </w:rPr>
        <w:t xml:space="preserve">; </w:t>
      </w:r>
      <w:r w:rsidRPr="004F2155">
        <w:rPr>
          <w:i/>
          <w:iCs/>
          <w:color w:val="000000" w:themeColor="text1"/>
          <w:sz w:val="24"/>
        </w:rPr>
        <w:t>Garrison v. Louisiana</w:t>
      </w:r>
      <w:r w:rsidRPr="004F2155">
        <w:rPr>
          <w:color w:val="000000" w:themeColor="text1"/>
          <w:sz w:val="24"/>
        </w:rPr>
        <w:t xml:space="preserve">, 379 </w:t>
      </w:r>
      <w:r w:rsidRPr="004F2155">
        <w:rPr>
          <w:i/>
          <w:iCs/>
          <w:color w:val="000000" w:themeColor="text1"/>
          <w:sz w:val="24"/>
        </w:rPr>
        <w:t>U.S.</w:t>
      </w:r>
      <w:r w:rsidRPr="004F2155">
        <w:rPr>
          <w:color w:val="000000" w:themeColor="text1"/>
          <w:sz w:val="24"/>
        </w:rPr>
        <w:t xml:space="preserve"> 64, 85 </w:t>
      </w:r>
      <w:r w:rsidRPr="004F2155">
        <w:rPr>
          <w:i/>
          <w:color w:val="000000" w:themeColor="text1"/>
          <w:sz w:val="24"/>
        </w:rPr>
        <w:t>S.Ct.</w:t>
      </w:r>
      <w:r w:rsidRPr="004F2155">
        <w:rPr>
          <w:color w:val="000000" w:themeColor="text1"/>
          <w:sz w:val="24"/>
        </w:rPr>
        <w:t xml:space="preserve"> 209, 13 </w:t>
      </w:r>
      <w:r w:rsidRPr="004F2155">
        <w:rPr>
          <w:i/>
          <w:color w:val="000000" w:themeColor="text1"/>
          <w:sz w:val="24"/>
        </w:rPr>
        <w:t>L.Ed.</w:t>
      </w:r>
      <w:r w:rsidRPr="004F2155">
        <w:rPr>
          <w:color w:val="000000" w:themeColor="text1"/>
          <w:sz w:val="24"/>
        </w:rPr>
        <w:t xml:space="preserve"> 2d 125 (1964); </w:t>
      </w:r>
      <w:r w:rsidRPr="004F2155">
        <w:rPr>
          <w:i/>
          <w:iCs/>
          <w:color w:val="000000" w:themeColor="text1"/>
          <w:sz w:val="24"/>
        </w:rPr>
        <w:t xml:space="preserve">St. </w:t>
      </w:r>
      <w:proofErr w:type="spellStart"/>
      <w:r w:rsidRPr="004F2155">
        <w:rPr>
          <w:i/>
          <w:iCs/>
          <w:color w:val="000000" w:themeColor="text1"/>
          <w:sz w:val="24"/>
        </w:rPr>
        <w:t>Amant</w:t>
      </w:r>
      <w:proofErr w:type="spellEnd"/>
      <w:r w:rsidRPr="004F2155">
        <w:rPr>
          <w:i/>
          <w:iCs/>
          <w:color w:val="000000" w:themeColor="text1"/>
          <w:sz w:val="24"/>
        </w:rPr>
        <w:t xml:space="preserve"> v. Thompson</w:t>
      </w:r>
      <w:r w:rsidRPr="004F2155">
        <w:rPr>
          <w:color w:val="000000" w:themeColor="text1"/>
          <w:sz w:val="24"/>
        </w:rPr>
        <w:t xml:space="preserve">, 390 </w:t>
      </w:r>
      <w:r w:rsidRPr="004F2155">
        <w:rPr>
          <w:i/>
          <w:iCs/>
          <w:color w:val="000000" w:themeColor="text1"/>
          <w:sz w:val="24"/>
        </w:rPr>
        <w:t>U.S.</w:t>
      </w:r>
      <w:r w:rsidRPr="004F2155">
        <w:rPr>
          <w:color w:val="000000" w:themeColor="text1"/>
          <w:sz w:val="24"/>
        </w:rPr>
        <w:t xml:space="preserve"> 727, 88 </w:t>
      </w:r>
      <w:r w:rsidRPr="004F2155">
        <w:rPr>
          <w:i/>
          <w:color w:val="000000" w:themeColor="text1"/>
          <w:sz w:val="24"/>
        </w:rPr>
        <w:t xml:space="preserve">S.Ct. </w:t>
      </w:r>
      <w:r w:rsidRPr="004F2155">
        <w:rPr>
          <w:color w:val="000000" w:themeColor="text1"/>
          <w:sz w:val="24"/>
        </w:rPr>
        <w:t xml:space="preserve">1323, 20 </w:t>
      </w:r>
      <w:r w:rsidRPr="004F2155">
        <w:rPr>
          <w:i/>
          <w:color w:val="000000" w:themeColor="text1"/>
          <w:sz w:val="24"/>
        </w:rPr>
        <w:t>L.Ed.</w:t>
      </w:r>
      <w:r w:rsidRPr="004F2155">
        <w:rPr>
          <w:color w:val="000000" w:themeColor="text1"/>
          <w:sz w:val="24"/>
        </w:rPr>
        <w:t xml:space="preserve"> 2d 262 (1968); </w:t>
      </w:r>
      <w:r w:rsidRPr="004F2155">
        <w:rPr>
          <w:i/>
          <w:iCs/>
          <w:color w:val="000000" w:themeColor="text1"/>
          <w:sz w:val="24"/>
        </w:rPr>
        <w:t>Lawrence v. Bauer Pub. Co.</w:t>
      </w:r>
      <w:r w:rsidRPr="004F2155">
        <w:rPr>
          <w:color w:val="000000" w:themeColor="text1"/>
          <w:sz w:val="24"/>
        </w:rPr>
        <w:t xml:space="preserve">, </w:t>
      </w:r>
      <w:r w:rsidRPr="004F2155">
        <w:rPr>
          <w:i/>
          <w:color w:val="000000" w:themeColor="text1"/>
          <w:sz w:val="24"/>
        </w:rPr>
        <w:t>supra</w:t>
      </w:r>
      <w:r w:rsidRPr="004F2155">
        <w:rPr>
          <w:color w:val="000000" w:themeColor="text1"/>
          <w:sz w:val="24"/>
        </w:rPr>
        <w:t xml:space="preserve">; </w:t>
      </w:r>
      <w:r w:rsidRPr="004F2155">
        <w:rPr>
          <w:i/>
          <w:iCs/>
          <w:color w:val="000000" w:themeColor="text1"/>
          <w:sz w:val="24"/>
        </w:rPr>
        <w:t>Marchiano v. Sandman</w:t>
      </w:r>
      <w:r w:rsidRPr="004F2155">
        <w:rPr>
          <w:color w:val="000000" w:themeColor="text1"/>
          <w:sz w:val="24"/>
        </w:rPr>
        <w:t xml:space="preserve">, </w:t>
      </w:r>
      <w:r w:rsidRPr="004F2155">
        <w:rPr>
          <w:i/>
          <w:color w:val="000000" w:themeColor="text1"/>
          <w:sz w:val="24"/>
        </w:rPr>
        <w:t>supra</w:t>
      </w:r>
      <w:r w:rsidRPr="004F2155">
        <w:rPr>
          <w:color w:val="000000" w:themeColor="text1"/>
          <w:sz w:val="24"/>
        </w:rPr>
        <w:t xml:space="preserve">; </w:t>
      </w:r>
      <w:r w:rsidRPr="004F2155">
        <w:rPr>
          <w:i/>
          <w:iCs/>
          <w:color w:val="000000" w:themeColor="text1"/>
          <w:sz w:val="24"/>
        </w:rPr>
        <w:t>Binkewitz v. Allstate Ins. Co.</w:t>
      </w:r>
      <w:r w:rsidRPr="004F2155">
        <w:rPr>
          <w:color w:val="000000" w:themeColor="text1"/>
          <w:sz w:val="24"/>
        </w:rPr>
        <w:t xml:space="preserve">, 222 </w:t>
      </w:r>
      <w:r w:rsidRPr="004F2155">
        <w:rPr>
          <w:i/>
          <w:iCs/>
          <w:color w:val="000000" w:themeColor="text1"/>
          <w:sz w:val="24"/>
        </w:rPr>
        <w:t>N.J. Super.</w:t>
      </w:r>
      <w:r w:rsidRPr="004F2155">
        <w:rPr>
          <w:color w:val="000000" w:themeColor="text1"/>
          <w:sz w:val="24"/>
        </w:rPr>
        <w:t xml:space="preserve"> 501 (App. Div.), </w:t>
      </w:r>
      <w:r w:rsidRPr="004F2155">
        <w:rPr>
          <w:i/>
          <w:color w:val="000000" w:themeColor="text1"/>
          <w:sz w:val="24"/>
        </w:rPr>
        <w:t>certif. denied</w:t>
      </w:r>
      <w:r w:rsidRPr="004F2155">
        <w:rPr>
          <w:color w:val="000000" w:themeColor="text1"/>
          <w:sz w:val="24"/>
        </w:rPr>
        <w:t xml:space="preserve">, 113 </w:t>
      </w:r>
      <w:r w:rsidRPr="004F2155">
        <w:rPr>
          <w:i/>
          <w:color w:val="000000" w:themeColor="text1"/>
          <w:sz w:val="24"/>
        </w:rPr>
        <w:t xml:space="preserve">N.J. </w:t>
      </w:r>
      <w:r w:rsidRPr="004F2155">
        <w:rPr>
          <w:color w:val="000000" w:themeColor="text1"/>
          <w:sz w:val="24"/>
        </w:rPr>
        <w:t>378 (1988).</w:t>
      </w:r>
    </w:p>
    <w:p w14:paraId="72DB4897" w14:textId="77777777" w:rsidR="00BB245A" w:rsidRPr="004F2155" w:rsidRDefault="00BB245A" w:rsidP="004F2155">
      <w:pPr>
        <w:jc w:val="both"/>
        <w:rPr>
          <w:color w:val="000000" w:themeColor="text1"/>
          <w:sz w:val="24"/>
        </w:rPr>
      </w:pPr>
    </w:p>
  </w:footnote>
  <w:footnote w:id="12">
    <w:p w14:paraId="68306DBC" w14:textId="77777777" w:rsidR="00014598" w:rsidRPr="004F2155" w:rsidRDefault="00014598" w:rsidP="004F2155">
      <w:pPr>
        <w:jc w:val="both"/>
        <w:rPr>
          <w:color w:val="000000" w:themeColor="text1"/>
          <w:sz w:val="24"/>
        </w:rPr>
      </w:pPr>
      <w:r w:rsidRPr="004F2155">
        <w:rPr>
          <w:rStyle w:val="FootnoteReference"/>
          <w:color w:val="000000" w:themeColor="text1"/>
          <w:sz w:val="24"/>
          <w:vertAlign w:val="superscript"/>
        </w:rPr>
        <w:footnoteRef/>
      </w:r>
      <w:r w:rsidRPr="004F2155">
        <w:rPr>
          <w:i/>
          <w:iCs/>
          <w:color w:val="000000" w:themeColor="text1"/>
          <w:sz w:val="24"/>
        </w:rPr>
        <w:t xml:space="preserve">  Aiello v. Knoll Golf Club</w:t>
      </w:r>
      <w:r w:rsidRPr="004F2155">
        <w:rPr>
          <w:color w:val="000000" w:themeColor="text1"/>
          <w:sz w:val="24"/>
        </w:rPr>
        <w:t xml:space="preserve">, 64 </w:t>
      </w:r>
      <w:r w:rsidRPr="004F2155">
        <w:rPr>
          <w:i/>
          <w:iCs/>
          <w:color w:val="000000" w:themeColor="text1"/>
          <w:sz w:val="24"/>
        </w:rPr>
        <w:t>N.J. Super.</w:t>
      </w:r>
      <w:r w:rsidRPr="004F2155">
        <w:rPr>
          <w:color w:val="000000" w:themeColor="text1"/>
          <w:sz w:val="24"/>
        </w:rPr>
        <w:t xml:space="preserve"> 156, 162 (App. Div. 1960); </w:t>
      </w:r>
      <w:r w:rsidRPr="004F2155">
        <w:rPr>
          <w:i/>
          <w:iCs/>
          <w:color w:val="000000" w:themeColor="text1"/>
          <w:sz w:val="24"/>
        </w:rPr>
        <w:t>see Matter of Jobes</w:t>
      </w:r>
      <w:r w:rsidRPr="004F2155">
        <w:rPr>
          <w:color w:val="000000" w:themeColor="text1"/>
          <w:sz w:val="24"/>
        </w:rPr>
        <w:t xml:space="preserve">, 108 </w:t>
      </w:r>
      <w:r w:rsidRPr="004F2155">
        <w:rPr>
          <w:i/>
          <w:iCs/>
          <w:color w:val="000000" w:themeColor="text1"/>
          <w:sz w:val="24"/>
        </w:rPr>
        <w:t>N.J.</w:t>
      </w:r>
      <w:r w:rsidRPr="004F2155">
        <w:rPr>
          <w:color w:val="000000" w:themeColor="text1"/>
          <w:sz w:val="24"/>
        </w:rPr>
        <w:t xml:space="preserve"> 394, 407 (1987); </w:t>
      </w:r>
      <w:r w:rsidRPr="004F2155">
        <w:rPr>
          <w:i/>
          <w:iCs/>
          <w:color w:val="000000" w:themeColor="text1"/>
          <w:sz w:val="24"/>
        </w:rPr>
        <w:t>State v. Hodge</w:t>
      </w:r>
      <w:r w:rsidRPr="004F2155">
        <w:rPr>
          <w:color w:val="000000" w:themeColor="text1"/>
          <w:sz w:val="24"/>
        </w:rPr>
        <w:t xml:space="preserve">, 95 </w:t>
      </w:r>
      <w:r w:rsidRPr="004F2155">
        <w:rPr>
          <w:i/>
          <w:iCs/>
          <w:color w:val="000000" w:themeColor="text1"/>
          <w:sz w:val="24"/>
        </w:rPr>
        <w:t>N.J.</w:t>
      </w:r>
      <w:r w:rsidRPr="004F2155">
        <w:rPr>
          <w:color w:val="000000" w:themeColor="text1"/>
          <w:sz w:val="24"/>
        </w:rPr>
        <w:t xml:space="preserve"> 369, 376 (1984).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7A3D" w14:textId="77777777" w:rsidR="00014598" w:rsidRDefault="00014598">
    <w:pPr>
      <w:pStyle w:val="Header"/>
      <w:rPr>
        <w:b/>
        <w:bCs/>
        <w:smallCaps/>
        <w:sz w:val="24"/>
      </w:rPr>
    </w:pPr>
    <w:r>
      <w:rPr>
        <w:b/>
        <w:bCs/>
        <w:smallCaps/>
        <w:sz w:val="24"/>
      </w:rPr>
      <w:t>Charge 3-11</w:t>
    </w:r>
  </w:p>
  <w:p w14:paraId="3A454429" w14:textId="77777777" w:rsidR="00014598" w:rsidRDefault="00014598">
    <w:pPr>
      <w:pStyle w:val="Header"/>
      <w:rPr>
        <w:b/>
        <w:bCs/>
        <w:smallCap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0226" w14:textId="77777777" w:rsidR="00014598" w:rsidRPr="00CC1C30" w:rsidRDefault="00014598">
    <w:pPr>
      <w:pStyle w:val="Header"/>
      <w:jc w:val="right"/>
      <w:rPr>
        <w:rFonts w:ascii="Times New Roman Bold" w:hAnsi="Times New Roman Bold"/>
        <w:b/>
        <w:bCs/>
        <w:sz w:val="28"/>
        <w:szCs w:val="28"/>
      </w:rPr>
    </w:pPr>
    <w:r w:rsidRPr="00CC1C30">
      <w:rPr>
        <w:rFonts w:ascii="Times New Roman Bold" w:hAnsi="Times New Roman Bold"/>
        <w:b/>
        <w:bCs/>
        <w:sz w:val="28"/>
        <w:szCs w:val="28"/>
      </w:rPr>
      <w:t xml:space="preserve">CHARGE 3.11A — Page </w:t>
    </w:r>
    <w:r w:rsidRPr="00CC1C30">
      <w:rPr>
        <w:rFonts w:ascii="Times New Roman Bold" w:hAnsi="Times New Roman Bold"/>
        <w:b/>
        <w:bCs/>
        <w:sz w:val="28"/>
        <w:szCs w:val="28"/>
      </w:rPr>
      <w:fldChar w:fldCharType="begin"/>
    </w:r>
    <w:r w:rsidRPr="00CC1C30">
      <w:rPr>
        <w:rFonts w:ascii="Times New Roman Bold" w:hAnsi="Times New Roman Bold"/>
        <w:b/>
        <w:bCs/>
        <w:sz w:val="28"/>
        <w:szCs w:val="28"/>
      </w:rPr>
      <w:instrText xml:space="preserve"> PAGE </w:instrText>
    </w:r>
    <w:r w:rsidRPr="00CC1C30">
      <w:rPr>
        <w:rFonts w:ascii="Times New Roman Bold" w:hAnsi="Times New Roman Bold"/>
        <w:b/>
        <w:bCs/>
        <w:sz w:val="28"/>
        <w:szCs w:val="28"/>
      </w:rPr>
      <w:fldChar w:fldCharType="separate"/>
    </w:r>
    <w:r w:rsidR="004005C7">
      <w:rPr>
        <w:rFonts w:ascii="Times New Roman Bold" w:hAnsi="Times New Roman Bold"/>
        <w:b/>
        <w:bCs/>
        <w:noProof/>
        <w:sz w:val="28"/>
        <w:szCs w:val="28"/>
      </w:rPr>
      <w:t>1</w:t>
    </w:r>
    <w:r w:rsidRPr="00CC1C30">
      <w:rPr>
        <w:rFonts w:ascii="Times New Roman Bold" w:hAnsi="Times New Roman Bold"/>
        <w:b/>
        <w:bCs/>
        <w:sz w:val="28"/>
        <w:szCs w:val="28"/>
      </w:rPr>
      <w:fldChar w:fldCharType="end"/>
    </w:r>
    <w:r w:rsidRPr="00CC1C30">
      <w:rPr>
        <w:rFonts w:ascii="Times New Roman Bold" w:hAnsi="Times New Roman Bold"/>
        <w:b/>
        <w:bCs/>
        <w:sz w:val="28"/>
        <w:szCs w:val="28"/>
      </w:rPr>
      <w:t xml:space="preserve"> of </w:t>
    </w:r>
    <w:r w:rsidRPr="00CC1C30">
      <w:rPr>
        <w:rFonts w:ascii="Times New Roman Bold" w:hAnsi="Times New Roman Bold"/>
        <w:b/>
        <w:bCs/>
        <w:sz w:val="28"/>
        <w:szCs w:val="28"/>
      </w:rPr>
      <w:fldChar w:fldCharType="begin"/>
    </w:r>
    <w:r w:rsidRPr="00CC1C30">
      <w:rPr>
        <w:rFonts w:ascii="Times New Roman Bold" w:hAnsi="Times New Roman Bold"/>
        <w:b/>
        <w:bCs/>
        <w:sz w:val="28"/>
        <w:szCs w:val="28"/>
      </w:rPr>
      <w:instrText xml:space="preserve"> NUMPAGES </w:instrText>
    </w:r>
    <w:r w:rsidRPr="00CC1C30">
      <w:rPr>
        <w:rFonts w:ascii="Times New Roman Bold" w:hAnsi="Times New Roman Bold"/>
        <w:b/>
        <w:bCs/>
        <w:sz w:val="28"/>
        <w:szCs w:val="28"/>
      </w:rPr>
      <w:fldChar w:fldCharType="separate"/>
    </w:r>
    <w:r w:rsidR="004005C7">
      <w:rPr>
        <w:rFonts w:ascii="Times New Roman Bold" w:hAnsi="Times New Roman Bold"/>
        <w:b/>
        <w:bCs/>
        <w:noProof/>
        <w:sz w:val="28"/>
        <w:szCs w:val="28"/>
      </w:rPr>
      <w:t>8</w:t>
    </w:r>
    <w:r w:rsidRPr="00CC1C30">
      <w:rPr>
        <w:rFonts w:ascii="Times New Roman Bold" w:hAnsi="Times New Roman Bold"/>
        <w:b/>
        <w:bCs/>
        <w:sz w:val="28"/>
        <w:szCs w:val="28"/>
      </w:rPr>
      <w:fldChar w:fldCharType="end"/>
    </w:r>
  </w:p>
  <w:p w14:paraId="06EE4B91" w14:textId="77777777" w:rsidR="00014598" w:rsidRDefault="00014598">
    <w:pPr>
      <w:pStyle w:val="Header"/>
      <w:jc w:val="right"/>
      <w:rPr>
        <w:b/>
        <w:bCs/>
        <w:smallCaps/>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Letter"/>
      <w:lvlText w:val="%1."/>
      <w:lvlJc w:val="left"/>
      <w:pPr>
        <w:tabs>
          <w:tab w:val="num" w:pos="1440"/>
        </w:tabs>
        <w:ind w:left="1440" w:hanging="630"/>
      </w:pPr>
      <w:rPr>
        <w:rFonts w:ascii="Times New Roman" w:hAnsi="Times New Roman" w:cs="Times New Roman"/>
        <w:b/>
        <w:sz w:val="28"/>
        <w:szCs w:val="28"/>
      </w:rPr>
    </w:lvl>
    <w:lvl w:ilvl="1">
      <w:start w:val="1"/>
      <w:numFmt w:val="decimal"/>
      <w:lvlText w:val="%2."/>
      <w:lvlJc w:val="left"/>
      <w:pPr>
        <w:tabs>
          <w:tab w:val="num" w:pos="2160"/>
        </w:tabs>
        <w:ind w:left="2160" w:hanging="720"/>
      </w:pPr>
      <w:rPr>
        <w:b/>
      </w:rPr>
    </w:lvl>
    <w:lvl w:ilvl="2">
      <w:start w:val="1"/>
      <w:numFmt w:val="low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lowerLetter"/>
      <w:pStyle w:val="Level1"/>
      <w:lvlText w:val="%1."/>
      <w:lvlJc w:val="left"/>
      <w:pPr>
        <w:tabs>
          <w:tab w:val="num" w:pos="2880"/>
        </w:tabs>
        <w:ind w:left="2880" w:hanging="720"/>
      </w:pPr>
      <w:rPr>
        <w:rFonts w:ascii="Times New Roman" w:hAnsi="Times New Roman" w:cs="Times New Roman"/>
        <w:b/>
        <w:sz w:val="28"/>
        <w:szCs w:val="28"/>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1AB662CD"/>
    <w:multiLevelType w:val="hybridMultilevel"/>
    <w:tmpl w:val="CDD84E86"/>
    <w:lvl w:ilvl="0" w:tplc="2AF45DC6">
      <w:start w:val="2"/>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15:restartNumberingAfterBreak="0">
    <w:nsid w:val="71C01EE0"/>
    <w:multiLevelType w:val="hybridMultilevel"/>
    <w:tmpl w:val="E55474F4"/>
    <w:lvl w:ilvl="0" w:tplc="EA82332E">
      <w:start w:val="4"/>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7FBA56F5"/>
    <w:multiLevelType w:val="hybridMultilevel"/>
    <w:tmpl w:val="1BCEF756"/>
    <w:lvl w:ilvl="0" w:tplc="F0C8B1BC">
      <w:start w:val="5"/>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92768791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12763968">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135097693">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850830863">
    <w:abstractNumId w:val="4"/>
  </w:num>
  <w:num w:numId="5" w16cid:durableId="2128160346">
    <w:abstractNumId w:val="2"/>
  </w:num>
  <w:num w:numId="6" w16cid:durableId="148250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9F"/>
    <w:rsid w:val="00014598"/>
    <w:rsid w:val="000147ED"/>
    <w:rsid w:val="00032B7D"/>
    <w:rsid w:val="00053A55"/>
    <w:rsid w:val="00116BAE"/>
    <w:rsid w:val="00143B30"/>
    <w:rsid w:val="00150D72"/>
    <w:rsid w:val="001559C0"/>
    <w:rsid w:val="00157D14"/>
    <w:rsid w:val="00191CFC"/>
    <w:rsid w:val="001B0C9E"/>
    <w:rsid w:val="001F2771"/>
    <w:rsid w:val="002428D2"/>
    <w:rsid w:val="002438E8"/>
    <w:rsid w:val="002F3155"/>
    <w:rsid w:val="00305B5A"/>
    <w:rsid w:val="00320C47"/>
    <w:rsid w:val="00325DC5"/>
    <w:rsid w:val="00341677"/>
    <w:rsid w:val="00344945"/>
    <w:rsid w:val="00345DBC"/>
    <w:rsid w:val="003843D0"/>
    <w:rsid w:val="003B3693"/>
    <w:rsid w:val="003E3FA6"/>
    <w:rsid w:val="003F63E0"/>
    <w:rsid w:val="004005C7"/>
    <w:rsid w:val="00405F1D"/>
    <w:rsid w:val="00422270"/>
    <w:rsid w:val="0042282A"/>
    <w:rsid w:val="004D1E7F"/>
    <w:rsid w:val="004F2155"/>
    <w:rsid w:val="0057304B"/>
    <w:rsid w:val="00623ACF"/>
    <w:rsid w:val="00641628"/>
    <w:rsid w:val="00643801"/>
    <w:rsid w:val="00653A43"/>
    <w:rsid w:val="00654187"/>
    <w:rsid w:val="00656F79"/>
    <w:rsid w:val="0066484F"/>
    <w:rsid w:val="006D6E05"/>
    <w:rsid w:val="00741902"/>
    <w:rsid w:val="00747A4A"/>
    <w:rsid w:val="00767808"/>
    <w:rsid w:val="00767DD1"/>
    <w:rsid w:val="00796213"/>
    <w:rsid w:val="007E0103"/>
    <w:rsid w:val="007E5C83"/>
    <w:rsid w:val="0080205A"/>
    <w:rsid w:val="00811307"/>
    <w:rsid w:val="00823382"/>
    <w:rsid w:val="008504B4"/>
    <w:rsid w:val="008525DA"/>
    <w:rsid w:val="00854F34"/>
    <w:rsid w:val="0086280C"/>
    <w:rsid w:val="00875A00"/>
    <w:rsid w:val="008B7FF4"/>
    <w:rsid w:val="008E1FB4"/>
    <w:rsid w:val="008F1594"/>
    <w:rsid w:val="008F5A6F"/>
    <w:rsid w:val="00905693"/>
    <w:rsid w:val="00935371"/>
    <w:rsid w:val="00945CA7"/>
    <w:rsid w:val="00950F04"/>
    <w:rsid w:val="009903D9"/>
    <w:rsid w:val="009C052C"/>
    <w:rsid w:val="009C534C"/>
    <w:rsid w:val="009E33D3"/>
    <w:rsid w:val="00A262D3"/>
    <w:rsid w:val="00A62177"/>
    <w:rsid w:val="00A6619F"/>
    <w:rsid w:val="00A6671C"/>
    <w:rsid w:val="00A7620C"/>
    <w:rsid w:val="00B63387"/>
    <w:rsid w:val="00BB245A"/>
    <w:rsid w:val="00BB517B"/>
    <w:rsid w:val="00BD5583"/>
    <w:rsid w:val="00BF4BDC"/>
    <w:rsid w:val="00C05547"/>
    <w:rsid w:val="00C55711"/>
    <w:rsid w:val="00C97A06"/>
    <w:rsid w:val="00CC1C30"/>
    <w:rsid w:val="00CC4444"/>
    <w:rsid w:val="00D1390E"/>
    <w:rsid w:val="00D4261B"/>
    <w:rsid w:val="00D42B9F"/>
    <w:rsid w:val="00D91828"/>
    <w:rsid w:val="00D92829"/>
    <w:rsid w:val="00DC365F"/>
    <w:rsid w:val="00E2792C"/>
    <w:rsid w:val="00E40474"/>
    <w:rsid w:val="00E44ACB"/>
    <w:rsid w:val="00E710A4"/>
    <w:rsid w:val="00E91BD6"/>
    <w:rsid w:val="00E97AF4"/>
    <w:rsid w:val="00EA1E55"/>
    <w:rsid w:val="00EF08CF"/>
    <w:rsid w:val="00F36BEC"/>
    <w:rsid w:val="00F8678D"/>
    <w:rsid w:val="00F90DBF"/>
    <w:rsid w:val="00F91B6F"/>
    <w:rsid w:val="00FA5CEF"/>
    <w:rsid w:val="00FC41EF"/>
    <w:rsid w:val="00FD7406"/>
    <w:rsid w:val="00FE2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0E8F3"/>
  <w15:docId w15:val="{39FEB338-835E-4086-8ED5-8E1008B7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2880" w:hanging="720"/>
      <w:outlineLvl w:val="0"/>
    </w:pPr>
  </w:style>
  <w:style w:type="paragraph" w:customStyle="1" w:styleId="Level2">
    <w:name w:val="Level 2"/>
    <w:basedOn w:val="Normal"/>
    <w:pPr>
      <w:ind w:left="216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BlockText">
    <w:name w:val="Block Text"/>
    <w:basedOn w:val="Normal"/>
    <w:pPr>
      <w:widowControl/>
      <w:tabs>
        <w:tab w:val="left" w:pos="-108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s>
      <w:spacing w:after="180"/>
      <w:ind w:left="720" w:right="720" w:firstLine="720"/>
      <w:jc w:val="both"/>
    </w:pPr>
    <w:rPr>
      <w:sz w:val="28"/>
    </w:rPr>
  </w:style>
  <w:style w:type="paragraph" w:styleId="BodyTextIndent">
    <w:name w:val="Body Text Indent"/>
    <w:basedOn w:val="Normal"/>
    <w:pPr>
      <w:widowControl/>
      <w:tabs>
        <w:tab w:val="left" w:pos="-108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ind w:left="2880" w:hanging="720"/>
      <w:jc w:val="both"/>
    </w:pPr>
    <w:rPr>
      <w:b/>
      <w:bCs/>
      <w:sz w:val="28"/>
      <w:szCs w:val="28"/>
    </w:rPr>
  </w:style>
  <w:style w:type="paragraph" w:styleId="BodyTextIndent2">
    <w:name w:val="Body Text Indent 2"/>
    <w:basedOn w:val="Normal"/>
    <w:pPr>
      <w:widowControl/>
      <w:tabs>
        <w:tab w:val="left" w:pos="-108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80" w:line="480" w:lineRule="auto"/>
      <w:ind w:firstLine="810"/>
      <w:jc w:val="both"/>
    </w:pPr>
    <w:rPr>
      <w:sz w:val="28"/>
    </w:rPr>
  </w:style>
  <w:style w:type="paragraph" w:styleId="BalloonText">
    <w:name w:val="Balloon Text"/>
    <w:basedOn w:val="Normal"/>
    <w:semiHidden/>
    <w:rsid w:val="00A6619F"/>
    <w:rPr>
      <w:rFonts w:ascii="Tahoma" w:hAnsi="Tahoma" w:cs="Tahoma"/>
      <w:sz w:val="16"/>
      <w:szCs w:val="16"/>
    </w:rPr>
  </w:style>
  <w:style w:type="character" w:styleId="FollowedHyperlink">
    <w:name w:val="FollowedHyperlink"/>
    <w:rsid w:val="00305B5A"/>
    <w:rPr>
      <w:color w:val="800080"/>
      <w:u w:val="single"/>
    </w:rPr>
  </w:style>
  <w:style w:type="paragraph" w:styleId="FootnoteText">
    <w:name w:val="footnote text"/>
    <w:basedOn w:val="Normal"/>
    <w:link w:val="FootnoteTextChar"/>
    <w:rsid w:val="008F1594"/>
    <w:rPr>
      <w:szCs w:val="20"/>
    </w:rPr>
  </w:style>
  <w:style w:type="character" w:customStyle="1" w:styleId="FootnoteTextChar">
    <w:name w:val="Footnote Text Char"/>
    <w:basedOn w:val="DefaultParagraphFont"/>
    <w:link w:val="FootnoteText"/>
    <w:rsid w:val="008F1594"/>
  </w:style>
  <w:style w:type="character" w:styleId="Hyperlink">
    <w:name w:val="Hyperlink"/>
    <w:uiPriority w:val="99"/>
    <w:unhideWhenUsed/>
    <w:rsid w:val="008F1594"/>
    <w:rPr>
      <w:strike w:val="0"/>
      <w:dstrike w:val="0"/>
      <w:color w:val="004B91"/>
      <w:u w:val="none"/>
      <w:effect w:val="none"/>
    </w:rPr>
  </w:style>
  <w:style w:type="character" w:customStyle="1" w:styleId="pmterms31">
    <w:name w:val="pmterms31"/>
    <w:rsid w:val="008F1594"/>
    <w:rPr>
      <w:b/>
      <w:bCs/>
      <w:i w:val="0"/>
      <w:iCs w:val="0"/>
      <w:color w:val="000000"/>
    </w:rPr>
  </w:style>
  <w:style w:type="paragraph" w:styleId="EndnoteText">
    <w:name w:val="endnote text"/>
    <w:basedOn w:val="Normal"/>
    <w:link w:val="EndnoteTextChar"/>
    <w:rsid w:val="0086280C"/>
    <w:rPr>
      <w:szCs w:val="20"/>
    </w:rPr>
  </w:style>
  <w:style w:type="character" w:customStyle="1" w:styleId="EndnoteTextChar">
    <w:name w:val="Endnote Text Char"/>
    <w:basedOn w:val="DefaultParagraphFont"/>
    <w:link w:val="EndnoteText"/>
    <w:rsid w:val="0086280C"/>
  </w:style>
  <w:style w:type="character" w:styleId="EndnoteReference">
    <w:name w:val="endnote reference"/>
    <w:basedOn w:val="DefaultParagraphFont"/>
    <w:rsid w:val="0086280C"/>
    <w:rPr>
      <w:vertAlign w:val="superscript"/>
    </w:rPr>
  </w:style>
  <w:style w:type="paragraph" w:styleId="Revision">
    <w:name w:val="Revision"/>
    <w:hidden/>
    <w:uiPriority w:val="99"/>
    <w:semiHidden/>
    <w:rsid w:val="00320C47"/>
    <w:rPr>
      <w:szCs w:val="24"/>
    </w:rPr>
  </w:style>
  <w:style w:type="paragraph" w:styleId="ListParagraph">
    <w:name w:val="List Paragraph"/>
    <w:basedOn w:val="Normal"/>
    <w:uiPriority w:val="34"/>
    <w:qFormat/>
    <w:rsid w:val="00E91B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155EA-CF20-4BD7-9017-EAA6EA94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1138</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3.11A</vt:lpstr>
    </vt:vector>
  </TitlesOfParts>
  <Company>State of NJ - Judiciary</Company>
  <LinksUpToDate>false</LinksUpToDate>
  <CharactersWithSpaces>7093</CharactersWithSpaces>
  <SharedDoc>false</SharedDoc>
  <HLinks>
    <vt:vector size="6" baseType="variant">
      <vt:variant>
        <vt:i4>2293850</vt:i4>
      </vt:variant>
      <vt:variant>
        <vt:i4>0</vt:i4>
      </vt:variant>
      <vt:variant>
        <vt:i4>0</vt:i4>
      </vt:variant>
      <vt:variant>
        <vt:i4>5</vt:i4>
      </vt:variant>
      <vt:variant>
        <vt:lpwstr>http://www.lexis.com/research/buttonTFLink?_m=1e623c4a91195583227307e144641833&amp;_xfercite=%3ccite%20cc%3d%22USA%22%3e%3c%21%5bCDATA%5b210%20N.J.%20229%5d%5d%3e%3c%2fcite%3e&amp;_butType=3&amp;_butStat=2&amp;_butNum=57&amp;_butInline=1&amp;_butinfo=%3ccite%20cc%3d%22USA%22%3e%3c%21%5bCDATA%5b104%20N.J.%20125%2c%20133%5d%5d%3e%3c%2fcite%3e&amp;_fmtstr=FULL&amp;docnum=1&amp;_startdoc=1&amp;wchp=dGLzVzt-zSkAA&amp;_md5=43043956dfb4f1a0054e570d28298489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3.11A</dc:title>
  <dc:creator>Donna M. Albanese</dc:creator>
  <cp:lastModifiedBy>Kristi Robinson</cp:lastModifiedBy>
  <cp:revision>30</cp:revision>
  <cp:lastPrinted>2010-04-01T16:47:00Z</cp:lastPrinted>
  <dcterms:created xsi:type="dcterms:W3CDTF">2022-07-22T17:05:00Z</dcterms:created>
  <dcterms:modified xsi:type="dcterms:W3CDTF">2022-11-09T10:48:00Z</dcterms:modified>
</cp:coreProperties>
</file>