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1EBF" w14:textId="77777777" w:rsidR="00C2262A" w:rsidRPr="00A352C6" w:rsidRDefault="005E48A0" w:rsidP="0016329A">
      <w:pPr>
        <w:widowControl/>
        <w:tabs>
          <w:tab w:val="left" w:pos="-720"/>
          <w:tab w:val="left" w:pos="0"/>
          <w:tab w:val="left" w:pos="720"/>
        </w:tabs>
        <w:ind w:left="1440" w:hanging="1440"/>
        <w:jc w:val="both"/>
        <w:rPr>
          <w:b/>
          <w:bCs/>
          <w:spacing w:val="-3"/>
        </w:rPr>
      </w:pPr>
      <w:r w:rsidRPr="00A352C6">
        <w:rPr>
          <w:b/>
          <w:bCs/>
          <w:spacing w:val="-3"/>
        </w:rPr>
        <w:t>5.10</w:t>
      </w:r>
      <w:r w:rsidR="00C2262A" w:rsidRPr="00A352C6">
        <w:rPr>
          <w:b/>
          <w:bCs/>
          <w:spacing w:val="-3"/>
        </w:rPr>
        <w:t>A</w:t>
      </w:r>
      <w:r w:rsidR="00C2262A" w:rsidRPr="00A352C6">
        <w:rPr>
          <w:b/>
          <w:bCs/>
          <w:spacing w:val="-3"/>
        </w:rPr>
        <w:tab/>
      </w:r>
      <w:r w:rsidR="00C2262A" w:rsidRPr="00A352C6">
        <w:rPr>
          <w:b/>
          <w:bCs/>
          <w:spacing w:val="-3"/>
        </w:rPr>
        <w:tab/>
      </w:r>
      <w:r w:rsidRPr="00A352C6">
        <w:rPr>
          <w:b/>
          <w:bCs/>
          <w:spacing w:val="-3"/>
        </w:rPr>
        <w:t xml:space="preserve">NEGLIGENCE </w:t>
      </w:r>
      <w:r w:rsidR="00C2262A" w:rsidRPr="00A352C6">
        <w:rPr>
          <w:b/>
          <w:bCs/>
          <w:spacing w:val="-3"/>
        </w:rPr>
        <w:t>AND</w:t>
      </w:r>
      <w:r w:rsidR="00130735" w:rsidRPr="00A352C6">
        <w:rPr>
          <w:b/>
          <w:bCs/>
          <w:spacing w:val="-3"/>
        </w:rPr>
        <w:t xml:space="preserve"> ORDINARY CARE – GENERAL </w:t>
      </w:r>
    </w:p>
    <w:p w14:paraId="296143A7" w14:textId="0B781FEA" w:rsidR="005E48A0" w:rsidRPr="00A352C6" w:rsidRDefault="00C2262A" w:rsidP="0016329A">
      <w:pPr>
        <w:widowControl/>
        <w:tabs>
          <w:tab w:val="left" w:pos="-720"/>
          <w:tab w:val="left" w:pos="0"/>
          <w:tab w:val="left" w:pos="720"/>
        </w:tabs>
        <w:ind w:left="1080" w:hanging="1080"/>
        <w:jc w:val="both"/>
        <w:rPr>
          <w:spacing w:val="-3"/>
        </w:rPr>
      </w:pPr>
      <w:r w:rsidRPr="00A352C6">
        <w:rPr>
          <w:b/>
          <w:bCs/>
          <w:spacing w:val="-3"/>
        </w:rPr>
        <w:tab/>
      </w:r>
      <w:r w:rsidRPr="00A352C6">
        <w:rPr>
          <w:b/>
          <w:bCs/>
          <w:spacing w:val="-3"/>
        </w:rPr>
        <w:tab/>
      </w:r>
      <w:r w:rsidR="00DF3D82" w:rsidRPr="00A352C6">
        <w:rPr>
          <w:b/>
          <w:bCs/>
          <w:spacing w:val="-3"/>
        </w:rPr>
        <w:tab/>
      </w:r>
      <w:r w:rsidR="005E48A0" w:rsidRPr="00A352C6">
        <w:rPr>
          <w:spacing w:val="-3"/>
        </w:rPr>
        <w:t>(</w:t>
      </w:r>
      <w:r w:rsidRPr="00A352C6">
        <w:rPr>
          <w:spacing w:val="-3"/>
        </w:rPr>
        <w:t>Approved before 1</w:t>
      </w:r>
      <w:r w:rsidR="005E48A0" w:rsidRPr="00A352C6">
        <w:rPr>
          <w:spacing w:val="-3"/>
        </w:rPr>
        <w:t>984</w:t>
      </w:r>
      <w:r w:rsidR="00A3689A" w:rsidRPr="00A352C6">
        <w:rPr>
          <w:spacing w:val="-3"/>
        </w:rPr>
        <w:t xml:space="preserve">; Revised </w:t>
      </w:r>
      <w:r w:rsidR="00527D08" w:rsidRPr="00A352C6">
        <w:rPr>
          <w:spacing w:val="-3"/>
        </w:rPr>
        <w:t>10</w:t>
      </w:r>
      <w:r w:rsidR="00A3689A" w:rsidRPr="00A352C6">
        <w:rPr>
          <w:spacing w:val="-3"/>
        </w:rPr>
        <w:t>/20</w:t>
      </w:r>
      <w:r w:rsidR="00527D08" w:rsidRPr="00A352C6">
        <w:rPr>
          <w:spacing w:val="-3"/>
        </w:rPr>
        <w:t>22</w:t>
      </w:r>
      <w:r w:rsidR="005E48A0" w:rsidRPr="00A352C6">
        <w:rPr>
          <w:spacing w:val="-3"/>
        </w:rPr>
        <w:t>)</w:t>
      </w:r>
    </w:p>
    <w:p w14:paraId="136D3557" w14:textId="77777777" w:rsidR="0016329A" w:rsidRPr="00A352C6" w:rsidRDefault="0016329A" w:rsidP="0016329A">
      <w:pPr>
        <w:widowControl/>
        <w:tabs>
          <w:tab w:val="left" w:pos="-720"/>
        </w:tabs>
        <w:jc w:val="both"/>
        <w:rPr>
          <w:spacing w:val="-3"/>
        </w:rPr>
      </w:pPr>
    </w:p>
    <w:p w14:paraId="5FA402A6" w14:textId="478456F6" w:rsidR="005E48A0" w:rsidRPr="00A352C6" w:rsidRDefault="005E48A0" w:rsidP="0016329A">
      <w:pPr>
        <w:widowControl/>
        <w:tabs>
          <w:tab w:val="left" w:pos="-720"/>
        </w:tabs>
        <w:spacing w:line="480" w:lineRule="auto"/>
        <w:jc w:val="both"/>
        <w:rPr>
          <w:spacing w:val="-3"/>
        </w:rPr>
      </w:pPr>
      <w:r w:rsidRPr="00A352C6">
        <w:rPr>
          <w:spacing w:val="-3"/>
        </w:rPr>
        <w:tab/>
        <w:t>1.</w:t>
      </w:r>
      <w:r w:rsidRPr="00A352C6">
        <w:rPr>
          <w:spacing w:val="-3"/>
        </w:rPr>
        <w:tab/>
        <w:t xml:space="preserve">Negligence may be defined as a failure to exercise, in the given circumstances, that degree of care for the safety of </w:t>
      </w:r>
      <w:r w:rsidR="000D4221" w:rsidRPr="00A352C6">
        <w:rPr>
          <w:spacing w:val="-3"/>
        </w:rPr>
        <w:t>others which</w:t>
      </w:r>
      <w:r w:rsidRPr="00A352C6">
        <w:rPr>
          <w:spacing w:val="-3"/>
        </w:rPr>
        <w:t xml:space="preserve"> a person of ordinary prudence would exercise under similar circumstances.  It may be the doing of an act which the ordinary prudent person would not have done, or the failure to do that which the ordinary prudent person would h</w:t>
      </w:r>
      <w:r w:rsidR="006F5B6C" w:rsidRPr="00A352C6">
        <w:rPr>
          <w:spacing w:val="-3"/>
        </w:rPr>
        <w:t>ave done, under the circumstanc</w:t>
      </w:r>
      <w:r w:rsidRPr="00A352C6">
        <w:rPr>
          <w:spacing w:val="-3"/>
        </w:rPr>
        <w:t>es then existing.</w:t>
      </w:r>
    </w:p>
    <w:p w14:paraId="3206956A" w14:textId="77777777" w:rsidR="005E48A0" w:rsidRPr="00A352C6" w:rsidRDefault="00DB2849" w:rsidP="0016329A">
      <w:pPr>
        <w:widowControl/>
        <w:tabs>
          <w:tab w:val="left" w:pos="-720"/>
        </w:tabs>
        <w:spacing w:line="480" w:lineRule="auto"/>
        <w:jc w:val="center"/>
        <w:rPr>
          <w:b/>
          <w:i/>
          <w:spacing w:val="-3"/>
        </w:rPr>
      </w:pPr>
      <w:r w:rsidRPr="00A352C6">
        <w:rPr>
          <w:b/>
          <w:i/>
          <w:spacing w:val="-3"/>
        </w:rPr>
        <w:t>[Where a more detailed definition is desired, the following may be used:]</w:t>
      </w:r>
    </w:p>
    <w:p w14:paraId="419EC7B1" w14:textId="15A6CAA7" w:rsidR="005E48A0" w:rsidRPr="00A352C6" w:rsidRDefault="005E48A0" w:rsidP="0016329A">
      <w:pPr>
        <w:widowControl/>
        <w:tabs>
          <w:tab w:val="left" w:pos="-720"/>
        </w:tabs>
        <w:spacing w:line="480" w:lineRule="auto"/>
        <w:jc w:val="both"/>
        <w:rPr>
          <w:spacing w:val="-3"/>
        </w:rPr>
      </w:pPr>
      <w:r w:rsidRPr="00A352C6">
        <w:rPr>
          <w:spacing w:val="-3"/>
        </w:rPr>
        <w:tab/>
        <w:t>2.</w:t>
      </w:r>
      <w:r w:rsidRPr="00A352C6">
        <w:rPr>
          <w:spacing w:val="-3"/>
        </w:rPr>
        <w:tab/>
        <w:t>Negligence is the failure to use that degree of care, precaution</w:t>
      </w:r>
      <w:r w:rsidR="00927597">
        <w:rPr>
          <w:spacing w:val="-3"/>
        </w:rPr>
        <w:t>,</w:t>
      </w:r>
      <w:r w:rsidRPr="00A352C6">
        <w:rPr>
          <w:spacing w:val="-3"/>
        </w:rPr>
        <w:t xml:space="preserve"> and vigilance which a reasonably prudent person would use under the same or similar circumstances.  It includes both affirmative acts which a reasonably prudent person would not have done and the omission of acts or precautions which a reasonably prudent person would have done or taken in the circumstances.</w:t>
      </w:r>
    </w:p>
    <w:p w14:paraId="035FB662" w14:textId="3B08E4A6" w:rsidR="005E48A0" w:rsidRPr="00A352C6" w:rsidRDefault="005E48A0" w:rsidP="0016329A">
      <w:pPr>
        <w:widowControl/>
        <w:tabs>
          <w:tab w:val="left" w:pos="-720"/>
        </w:tabs>
        <w:spacing w:line="480" w:lineRule="auto"/>
        <w:jc w:val="both"/>
        <w:rPr>
          <w:spacing w:val="-3"/>
        </w:rPr>
      </w:pPr>
      <w:r w:rsidRPr="00A352C6">
        <w:rPr>
          <w:spacing w:val="-3"/>
        </w:rPr>
        <w:tab/>
      </w:r>
      <w:r w:rsidR="00951BAE" w:rsidRPr="00A352C6">
        <w:rPr>
          <w:spacing w:val="-3"/>
        </w:rPr>
        <w:t>“</w:t>
      </w:r>
      <w:r w:rsidR="006931FC" w:rsidRPr="00A352C6">
        <w:rPr>
          <w:spacing w:val="-3"/>
        </w:rPr>
        <w:t>A</w:t>
      </w:r>
      <w:r w:rsidRPr="00A352C6">
        <w:rPr>
          <w:spacing w:val="-3"/>
        </w:rPr>
        <w:t xml:space="preserve"> reasonably prudent person</w:t>
      </w:r>
      <w:r w:rsidR="00951BAE" w:rsidRPr="00A352C6">
        <w:rPr>
          <w:spacing w:val="-3"/>
        </w:rPr>
        <w:t>”</w:t>
      </w:r>
      <w:r w:rsidRPr="00A352C6">
        <w:rPr>
          <w:spacing w:val="-3"/>
        </w:rPr>
        <w:t xml:space="preserve"> </w:t>
      </w:r>
      <w:r w:rsidR="006931FC" w:rsidRPr="00A352C6">
        <w:rPr>
          <w:spacing w:val="-3"/>
        </w:rPr>
        <w:t>does not mean</w:t>
      </w:r>
      <w:r w:rsidRPr="00A352C6">
        <w:rPr>
          <w:spacing w:val="-3"/>
        </w:rPr>
        <w:t xml:space="preserve"> the most cautious person</w:t>
      </w:r>
      <w:r w:rsidR="006931FC" w:rsidRPr="00A352C6">
        <w:rPr>
          <w:spacing w:val="-3"/>
        </w:rPr>
        <w:t>,</w:t>
      </w:r>
      <w:r w:rsidRPr="00A352C6">
        <w:rPr>
          <w:spacing w:val="-3"/>
        </w:rPr>
        <w:t xml:space="preserve"> nor one who is unusually bold</w:t>
      </w:r>
      <w:r w:rsidR="006931FC" w:rsidRPr="00A352C6">
        <w:rPr>
          <w:spacing w:val="-3"/>
        </w:rPr>
        <w:t>,</w:t>
      </w:r>
      <w:r w:rsidRPr="00A352C6">
        <w:rPr>
          <w:spacing w:val="-3"/>
        </w:rPr>
        <w:t xml:space="preserve"> but rather one of reasonable vigilance, caution</w:t>
      </w:r>
      <w:r w:rsidR="00927597">
        <w:rPr>
          <w:spacing w:val="-3"/>
        </w:rPr>
        <w:t>,</w:t>
      </w:r>
      <w:r w:rsidRPr="00A352C6">
        <w:rPr>
          <w:spacing w:val="-3"/>
        </w:rPr>
        <w:t xml:space="preserve"> and prudence.</w:t>
      </w:r>
    </w:p>
    <w:p w14:paraId="09E4825B" w14:textId="77777777" w:rsidR="005E48A0" w:rsidRPr="00A352C6" w:rsidRDefault="005E48A0" w:rsidP="0016329A">
      <w:pPr>
        <w:widowControl/>
        <w:tabs>
          <w:tab w:val="left" w:pos="-720"/>
        </w:tabs>
        <w:spacing w:line="480" w:lineRule="auto"/>
        <w:jc w:val="both"/>
        <w:rPr>
          <w:spacing w:val="-3"/>
        </w:rPr>
      </w:pPr>
      <w:r w:rsidRPr="00A352C6">
        <w:rPr>
          <w:spacing w:val="-3"/>
        </w:rPr>
        <w:tab/>
        <w:t>In order to establish negligence, it is not necessary that it be shown that the defendant had an evil heart or an intent to do harm.</w:t>
      </w:r>
    </w:p>
    <w:p w14:paraId="1E698BBE" w14:textId="5F388081" w:rsidR="005E48A0" w:rsidRPr="00A352C6" w:rsidRDefault="005E48A0" w:rsidP="0016329A">
      <w:pPr>
        <w:widowControl/>
        <w:tabs>
          <w:tab w:val="left" w:pos="-720"/>
        </w:tabs>
        <w:spacing w:line="480" w:lineRule="auto"/>
        <w:jc w:val="both"/>
        <w:rPr>
          <w:spacing w:val="-3"/>
        </w:rPr>
      </w:pPr>
      <w:r w:rsidRPr="00A352C6">
        <w:rPr>
          <w:spacing w:val="-3"/>
        </w:rPr>
        <w:tab/>
        <w:t>To summarize, every person i</w:t>
      </w:r>
      <w:r w:rsidR="006F5B6C" w:rsidRPr="00A352C6">
        <w:rPr>
          <w:spacing w:val="-3"/>
        </w:rPr>
        <w:t>s required to exercise the fore</w:t>
      </w:r>
      <w:r w:rsidRPr="00A352C6">
        <w:rPr>
          <w:spacing w:val="-3"/>
        </w:rPr>
        <w:t>sight, prudence</w:t>
      </w:r>
      <w:r w:rsidR="00927597">
        <w:rPr>
          <w:spacing w:val="-3"/>
        </w:rPr>
        <w:t>,</w:t>
      </w:r>
      <w:r w:rsidRPr="00A352C6">
        <w:rPr>
          <w:spacing w:val="-3"/>
        </w:rPr>
        <w:t xml:space="preserve"> and caution which a reasonably prudent person would exercise under the same or similar circumstances.  Negligence then</w:t>
      </w:r>
      <w:r w:rsidR="006931FC" w:rsidRPr="00A352C6">
        <w:rPr>
          <w:spacing w:val="-3"/>
        </w:rPr>
        <w:t>,</w:t>
      </w:r>
      <w:r w:rsidRPr="00A352C6">
        <w:rPr>
          <w:spacing w:val="-3"/>
        </w:rPr>
        <w:t xml:space="preserve"> is a departure from that standard of care.</w:t>
      </w:r>
    </w:p>
    <w:p w14:paraId="5222B1B8" w14:textId="77777777" w:rsidR="00F01A0B" w:rsidRPr="00A352C6" w:rsidRDefault="00F01A0B" w:rsidP="0016329A">
      <w:pPr>
        <w:ind w:left="720" w:right="702"/>
        <w:jc w:val="center"/>
        <w:rPr>
          <w:b/>
          <w:i/>
          <w:caps/>
          <w:spacing w:val="-3"/>
        </w:rPr>
      </w:pPr>
      <w:r w:rsidRPr="00A352C6">
        <w:rPr>
          <w:b/>
          <w:i/>
          <w:caps/>
          <w:spacing w:val="-3"/>
        </w:rPr>
        <w:lastRenderedPageBreak/>
        <w:t>Note to Judge</w:t>
      </w:r>
    </w:p>
    <w:p w14:paraId="1808B471" w14:textId="77777777" w:rsidR="0016329A" w:rsidRPr="00A352C6" w:rsidRDefault="0016329A" w:rsidP="0016329A">
      <w:pPr>
        <w:ind w:left="720" w:right="702"/>
        <w:jc w:val="center"/>
        <w:rPr>
          <w:b/>
          <w:caps/>
          <w:spacing w:val="-3"/>
        </w:rPr>
      </w:pPr>
    </w:p>
    <w:p w14:paraId="20FF094D" w14:textId="17CB51C5" w:rsidR="005E48A0" w:rsidRPr="00A352C6" w:rsidRDefault="005E48A0" w:rsidP="00536BE1">
      <w:pPr>
        <w:widowControl/>
        <w:ind w:left="720" w:right="720"/>
        <w:jc w:val="both"/>
        <w:rPr>
          <w:spacing w:val="-3"/>
        </w:rPr>
      </w:pPr>
      <w:r w:rsidRPr="00A352C6">
        <w:rPr>
          <w:spacing w:val="-3"/>
        </w:rPr>
        <w:t>Negligence is defined as con</w:t>
      </w:r>
      <w:r w:rsidR="006F5B6C" w:rsidRPr="00A352C6">
        <w:rPr>
          <w:spacing w:val="-3"/>
        </w:rPr>
        <w:t>duct which falls below the stan</w:t>
      </w:r>
      <w:r w:rsidRPr="00A352C6">
        <w:rPr>
          <w:spacing w:val="-3"/>
        </w:rPr>
        <w:t xml:space="preserve">dard established by law for the protection of others against unreasonable risk of harm.  </w:t>
      </w:r>
      <w:r w:rsidRPr="00A352C6">
        <w:rPr>
          <w:i/>
          <w:iCs/>
          <w:spacing w:val="-3"/>
        </w:rPr>
        <w:t>Restatement</w:t>
      </w:r>
      <w:r w:rsidR="007E1273" w:rsidRPr="00A352C6">
        <w:rPr>
          <w:spacing w:val="-3"/>
        </w:rPr>
        <w:t xml:space="preserve"> </w:t>
      </w:r>
      <w:r w:rsidR="007E1273" w:rsidRPr="00A352C6">
        <w:rPr>
          <w:i/>
          <w:iCs/>
          <w:spacing w:val="-3"/>
        </w:rPr>
        <w:t xml:space="preserve">(Second) </w:t>
      </w:r>
      <w:r w:rsidRPr="00A352C6">
        <w:rPr>
          <w:i/>
          <w:iCs/>
          <w:spacing w:val="-3"/>
        </w:rPr>
        <w:t>Torts</w:t>
      </w:r>
      <w:r w:rsidR="007E1273" w:rsidRPr="00A352C6">
        <w:rPr>
          <w:spacing w:val="-3"/>
        </w:rPr>
        <w:t xml:space="preserve"> § </w:t>
      </w:r>
      <w:r w:rsidRPr="00A352C6">
        <w:rPr>
          <w:i/>
          <w:iCs/>
          <w:spacing w:val="-3"/>
        </w:rPr>
        <w:t>Sec</w:t>
      </w:r>
      <w:r w:rsidRPr="00A352C6">
        <w:rPr>
          <w:spacing w:val="-3"/>
        </w:rPr>
        <w:t xml:space="preserve">. 282; </w:t>
      </w:r>
      <w:r w:rsidRPr="00A352C6">
        <w:rPr>
          <w:i/>
          <w:iCs/>
          <w:spacing w:val="-3"/>
        </w:rPr>
        <w:t>Harpell v. Public Service Coord. Transport</w:t>
      </w:r>
      <w:r w:rsidRPr="00A352C6">
        <w:rPr>
          <w:spacing w:val="-3"/>
        </w:rPr>
        <w:t xml:space="preserve">, 20 </w:t>
      </w:r>
      <w:r w:rsidRPr="00A352C6">
        <w:rPr>
          <w:i/>
          <w:iCs/>
          <w:spacing w:val="-3"/>
        </w:rPr>
        <w:t>N.J</w:t>
      </w:r>
      <w:r w:rsidRPr="00A352C6">
        <w:rPr>
          <w:spacing w:val="-3"/>
        </w:rPr>
        <w:t xml:space="preserve">. 309, 316 (1956); </w:t>
      </w:r>
      <w:r w:rsidRPr="00A352C6">
        <w:rPr>
          <w:i/>
          <w:iCs/>
          <w:spacing w:val="-3"/>
        </w:rPr>
        <w:t>Prosser</w:t>
      </w:r>
      <w:r w:rsidRPr="00A352C6">
        <w:rPr>
          <w:spacing w:val="-3"/>
        </w:rPr>
        <w:t xml:space="preserve">, </w:t>
      </w:r>
      <w:r w:rsidRPr="00A352C6">
        <w:rPr>
          <w:i/>
          <w:iCs/>
          <w:spacing w:val="-3"/>
        </w:rPr>
        <w:t>Torts</w:t>
      </w:r>
      <w:r w:rsidRPr="00A352C6">
        <w:rPr>
          <w:spacing w:val="-3"/>
        </w:rPr>
        <w:t>, p. 119.</w:t>
      </w:r>
    </w:p>
    <w:p w14:paraId="731495ED" w14:textId="77777777" w:rsidR="005E48A0" w:rsidRPr="00A352C6" w:rsidRDefault="005E48A0" w:rsidP="0016329A">
      <w:pPr>
        <w:widowControl/>
        <w:tabs>
          <w:tab w:val="left" w:pos="-720"/>
        </w:tabs>
        <w:ind w:left="720" w:right="720"/>
        <w:jc w:val="both"/>
        <w:rPr>
          <w:spacing w:val="-3"/>
        </w:rPr>
      </w:pPr>
    </w:p>
    <w:p w14:paraId="77C8A5D2" w14:textId="40523D9E" w:rsidR="005E48A0" w:rsidRPr="00A352C6" w:rsidRDefault="005E48A0" w:rsidP="0016329A">
      <w:pPr>
        <w:widowControl/>
        <w:tabs>
          <w:tab w:val="left" w:pos="-720"/>
        </w:tabs>
        <w:ind w:left="720" w:right="720"/>
        <w:jc w:val="both"/>
        <w:rPr>
          <w:spacing w:val="-3"/>
        </w:rPr>
      </w:pPr>
      <w:r w:rsidRPr="00A352C6">
        <w:rPr>
          <w:spacing w:val="-3"/>
        </w:rPr>
        <w:t>The defendant</w:t>
      </w:r>
      <w:r w:rsidR="00927597">
        <w:rPr>
          <w:spacing w:val="-3"/>
        </w:rPr>
        <w:t>’</w:t>
      </w:r>
      <w:r w:rsidRPr="00A352C6">
        <w:rPr>
          <w:spacing w:val="-3"/>
        </w:rPr>
        <w:t>s conduct is compared with that which the hypothetical person of reasonable vigilance, caution</w:t>
      </w:r>
      <w:r w:rsidR="00927597">
        <w:rPr>
          <w:spacing w:val="-3"/>
        </w:rPr>
        <w:t>,</w:t>
      </w:r>
      <w:r w:rsidRPr="00A352C6">
        <w:rPr>
          <w:spacing w:val="-3"/>
        </w:rPr>
        <w:t xml:space="preserve"> and prudence would have exercised in the same </w:t>
      </w:r>
      <w:r w:rsidR="006F5B6C" w:rsidRPr="00A352C6">
        <w:rPr>
          <w:spacing w:val="-3"/>
        </w:rPr>
        <w:t>or similar circumstances or con</w:t>
      </w:r>
      <w:r w:rsidRPr="00A352C6">
        <w:rPr>
          <w:spacing w:val="-3"/>
        </w:rPr>
        <w:t xml:space="preserve">ditions.  </w:t>
      </w:r>
      <w:r w:rsidRPr="00A352C6">
        <w:rPr>
          <w:i/>
          <w:iCs/>
          <w:spacing w:val="-3"/>
        </w:rPr>
        <w:t>Overby v. Union Laundry Co</w:t>
      </w:r>
      <w:r w:rsidRPr="00A352C6">
        <w:rPr>
          <w:spacing w:val="-3"/>
        </w:rPr>
        <w:t xml:space="preserve">., 28 </w:t>
      </w:r>
      <w:r w:rsidRPr="00A352C6">
        <w:rPr>
          <w:i/>
          <w:iCs/>
          <w:spacing w:val="-3"/>
        </w:rPr>
        <w:t>N.J</w:t>
      </w:r>
      <w:r w:rsidRPr="00A352C6">
        <w:rPr>
          <w:spacing w:val="-3"/>
        </w:rPr>
        <w:t xml:space="preserve">. </w:t>
      </w:r>
      <w:r w:rsidRPr="00A352C6">
        <w:rPr>
          <w:i/>
          <w:iCs/>
          <w:spacing w:val="-3"/>
        </w:rPr>
        <w:t>Super</w:t>
      </w:r>
      <w:r w:rsidRPr="00A352C6">
        <w:rPr>
          <w:spacing w:val="-3"/>
        </w:rPr>
        <w:t xml:space="preserve">. 100, 104 (App. Div. 1953), </w:t>
      </w:r>
      <w:r w:rsidRPr="00A352C6">
        <w:rPr>
          <w:i/>
          <w:spacing w:val="-3"/>
        </w:rPr>
        <w:t>aff</w:t>
      </w:r>
      <w:r w:rsidR="00DB2849" w:rsidRPr="00A352C6">
        <w:rPr>
          <w:i/>
          <w:spacing w:val="-3"/>
        </w:rPr>
        <w:t>’d</w:t>
      </w:r>
      <w:r w:rsidRPr="00A352C6">
        <w:rPr>
          <w:spacing w:val="-3"/>
        </w:rPr>
        <w:t xml:space="preserve"> 14 </w:t>
      </w:r>
      <w:r w:rsidRPr="00A352C6">
        <w:rPr>
          <w:i/>
          <w:iCs/>
          <w:spacing w:val="-3"/>
        </w:rPr>
        <w:t>N.J</w:t>
      </w:r>
      <w:r w:rsidRPr="00A352C6">
        <w:rPr>
          <w:spacing w:val="-3"/>
        </w:rPr>
        <w:t xml:space="preserve">. 526 (1954); </w:t>
      </w:r>
      <w:r w:rsidRPr="00A352C6">
        <w:rPr>
          <w:i/>
          <w:iCs/>
          <w:spacing w:val="-3"/>
        </w:rPr>
        <w:t xml:space="preserve">McKinley v. Slenderella </w:t>
      </w:r>
      <w:r w:rsidR="006931FC" w:rsidRPr="00A352C6">
        <w:rPr>
          <w:i/>
          <w:iCs/>
          <w:spacing w:val="-3"/>
        </w:rPr>
        <w:t>Sys.</w:t>
      </w:r>
      <w:r w:rsidRPr="00A352C6">
        <w:rPr>
          <w:i/>
          <w:iCs/>
          <w:spacing w:val="-3"/>
        </w:rPr>
        <w:t xml:space="preserve"> of Camden, N.J.</w:t>
      </w:r>
      <w:r w:rsidRPr="00A352C6">
        <w:rPr>
          <w:spacing w:val="-3"/>
        </w:rPr>
        <w:t xml:space="preserve">, 63 </w:t>
      </w:r>
      <w:r w:rsidRPr="00A352C6">
        <w:rPr>
          <w:i/>
          <w:iCs/>
          <w:spacing w:val="-3"/>
        </w:rPr>
        <w:t>N.J</w:t>
      </w:r>
      <w:r w:rsidRPr="00A352C6">
        <w:rPr>
          <w:spacing w:val="-3"/>
        </w:rPr>
        <w:t xml:space="preserve">. </w:t>
      </w:r>
      <w:r w:rsidRPr="00A352C6">
        <w:rPr>
          <w:i/>
          <w:iCs/>
          <w:spacing w:val="-3"/>
        </w:rPr>
        <w:t>Super</w:t>
      </w:r>
      <w:r w:rsidRPr="00A352C6">
        <w:rPr>
          <w:spacing w:val="-3"/>
        </w:rPr>
        <w:t>. 571 (App. Div. 1960).</w:t>
      </w:r>
    </w:p>
    <w:p w14:paraId="678E6BE3" w14:textId="77777777" w:rsidR="005E48A0" w:rsidRPr="00A352C6" w:rsidRDefault="005E48A0" w:rsidP="0016329A">
      <w:pPr>
        <w:widowControl/>
        <w:tabs>
          <w:tab w:val="left" w:pos="-720"/>
        </w:tabs>
        <w:ind w:left="720" w:right="720"/>
        <w:jc w:val="both"/>
        <w:rPr>
          <w:spacing w:val="-3"/>
        </w:rPr>
      </w:pPr>
    </w:p>
    <w:p w14:paraId="5DCDD461" w14:textId="06F361C1" w:rsidR="005E48A0" w:rsidRPr="00A352C6" w:rsidRDefault="007E1273" w:rsidP="0016329A">
      <w:pPr>
        <w:widowControl/>
        <w:tabs>
          <w:tab w:val="left" w:pos="-720"/>
        </w:tabs>
        <w:ind w:left="720" w:right="720"/>
        <w:jc w:val="both"/>
        <w:rPr>
          <w:spacing w:val="-3"/>
        </w:rPr>
      </w:pPr>
      <w:r w:rsidRPr="00A352C6">
        <w:rPr>
          <w:spacing w:val="-3"/>
        </w:rPr>
        <w:t>“</w:t>
      </w:r>
      <w:r w:rsidR="005E48A0" w:rsidRPr="00A352C6">
        <w:rPr>
          <w:spacing w:val="-3"/>
        </w:rPr>
        <w:t>The conduct of the reasonable man will vary with the situation with which he</w:t>
      </w:r>
      <w:r w:rsidR="00DB2849" w:rsidRPr="00A352C6">
        <w:rPr>
          <w:spacing w:val="-3"/>
        </w:rPr>
        <w:t xml:space="preserve"> </w:t>
      </w:r>
      <w:r w:rsidR="005E48A0" w:rsidRPr="00A352C6">
        <w:rPr>
          <w:spacing w:val="-3"/>
        </w:rPr>
        <w:t>is confronted.  The jury must therefore be instructed to take the circumstances into account; negligence is a failure to do what the reasonable man would do 'under the same or similar circumstances.</w:t>
      </w:r>
      <w:r w:rsidRPr="00A352C6">
        <w:rPr>
          <w:spacing w:val="-3"/>
        </w:rPr>
        <w:t xml:space="preserve">’” </w:t>
      </w:r>
      <w:r w:rsidR="005E48A0" w:rsidRPr="00A352C6">
        <w:rPr>
          <w:i/>
          <w:iCs/>
          <w:spacing w:val="-3"/>
        </w:rPr>
        <w:t>Prosser</w:t>
      </w:r>
      <w:r w:rsidR="005E48A0" w:rsidRPr="00A352C6">
        <w:rPr>
          <w:spacing w:val="-3"/>
        </w:rPr>
        <w:t>, p. 125.</w:t>
      </w:r>
    </w:p>
    <w:p w14:paraId="3C59832D" w14:textId="77777777" w:rsidR="005E48A0" w:rsidRPr="00A352C6" w:rsidRDefault="005E48A0" w:rsidP="0016329A">
      <w:pPr>
        <w:widowControl/>
        <w:tabs>
          <w:tab w:val="left" w:pos="-720"/>
        </w:tabs>
        <w:ind w:left="720" w:right="720"/>
        <w:jc w:val="both"/>
        <w:rPr>
          <w:spacing w:val="-3"/>
        </w:rPr>
      </w:pPr>
    </w:p>
    <w:p w14:paraId="510A2B71" w14:textId="77777777" w:rsidR="005E48A0" w:rsidRPr="00A352C6" w:rsidRDefault="005E48A0" w:rsidP="0016329A">
      <w:pPr>
        <w:widowControl/>
        <w:tabs>
          <w:tab w:val="left" w:pos="-720"/>
        </w:tabs>
        <w:ind w:left="720" w:right="720"/>
        <w:jc w:val="both"/>
        <w:rPr>
          <w:spacing w:val="-3"/>
        </w:rPr>
      </w:pPr>
      <w:r w:rsidRPr="00A352C6">
        <w:rPr>
          <w:spacing w:val="-3"/>
        </w:rPr>
        <w:t>The above may be modified to cover cases involving property damage.</w:t>
      </w:r>
      <w:bookmarkStart w:id="0" w:name="a5_10"/>
      <w:bookmarkEnd w:id="0"/>
    </w:p>
    <w:p w14:paraId="0E315C94" w14:textId="77777777" w:rsidR="00F01A0B" w:rsidRPr="00A352C6" w:rsidRDefault="00F01A0B" w:rsidP="0016329A">
      <w:pPr>
        <w:widowControl/>
        <w:tabs>
          <w:tab w:val="left" w:pos="-720"/>
        </w:tabs>
        <w:ind w:left="720" w:right="720"/>
        <w:jc w:val="both"/>
        <w:rPr>
          <w:spacing w:val="-3"/>
        </w:rPr>
      </w:pPr>
    </w:p>
    <w:p w14:paraId="16B95B08" w14:textId="7E399633" w:rsidR="00F01A0B" w:rsidRPr="00A352C6" w:rsidRDefault="00F01A0B" w:rsidP="0016329A">
      <w:pPr>
        <w:ind w:left="720" w:right="702"/>
        <w:jc w:val="both"/>
      </w:pPr>
      <w:r w:rsidRPr="00A352C6">
        <w:t xml:space="preserve">If at trial there is a genuine dispute of material fact as to whether one or more of the parties performed a discretionary function (subject to a “palpably unreasonable” standard) or ministerial function (subject to “ordinary negligence principles”), </w:t>
      </w:r>
      <w:r w:rsidRPr="00A352C6">
        <w:rPr>
          <w:i/>
        </w:rPr>
        <w:t>N.J.S.A.</w:t>
      </w:r>
      <w:r w:rsidRPr="00A352C6">
        <w:t xml:space="preserve"> 59:2-3, </w:t>
      </w:r>
      <w:r w:rsidRPr="00A352C6">
        <w:rPr>
          <w:i/>
        </w:rPr>
        <w:t>N.J.S.A.</w:t>
      </w:r>
      <w:r w:rsidRPr="00A352C6">
        <w:t xml:space="preserve"> 59:3-2, you must tailor both the final jury charge and the verdict sheet so the jury can make the appropriate fact findings and evaluate the party’s liability exposure using the proper standard of care.  </w:t>
      </w:r>
      <w:r w:rsidRPr="00A352C6">
        <w:rPr>
          <w:i/>
        </w:rPr>
        <w:t>See</w:t>
      </w:r>
      <w:r w:rsidR="00D220DE" w:rsidRPr="00A352C6">
        <w:rPr>
          <w:i/>
        </w:rPr>
        <w:t xml:space="preserve"> Estate of Gonzalez v. City of Jersey City, 247 N.J. 551 (2021</w:t>
      </w:r>
      <w:r w:rsidR="00A352C6" w:rsidRPr="00A352C6">
        <w:rPr>
          <w:i/>
        </w:rPr>
        <w:t xml:space="preserve">); </w:t>
      </w:r>
      <w:r w:rsidRPr="00A352C6">
        <w:rPr>
          <w:i/>
        </w:rPr>
        <w:t>Henebema v. S. Jersey Transp. Auth.</w:t>
      </w:r>
      <w:r w:rsidRPr="00A352C6">
        <w:t xml:space="preserve">, 403 </w:t>
      </w:r>
      <w:r w:rsidRPr="00A352C6">
        <w:rPr>
          <w:i/>
        </w:rPr>
        <w:t>N.J. Super.</w:t>
      </w:r>
      <w:r w:rsidRPr="00A352C6">
        <w:t xml:space="preserve"> 485, 506-07 (App. Div. 2013), </w:t>
      </w:r>
      <w:r w:rsidRPr="00A352C6">
        <w:rPr>
          <w:i/>
        </w:rPr>
        <w:t>aff’d</w:t>
      </w:r>
      <w:r w:rsidRPr="00A352C6">
        <w:t xml:space="preserve">, 219 </w:t>
      </w:r>
      <w:r w:rsidRPr="00A352C6">
        <w:rPr>
          <w:i/>
        </w:rPr>
        <w:t>N.J.</w:t>
      </w:r>
      <w:r w:rsidRPr="00A352C6">
        <w:t xml:space="preserve"> 481 (2014).</w:t>
      </w:r>
    </w:p>
    <w:p w14:paraId="5FE5FD66" w14:textId="77777777" w:rsidR="00F01A0B" w:rsidRPr="00A352C6" w:rsidRDefault="00F01A0B" w:rsidP="0016329A">
      <w:pPr>
        <w:widowControl/>
        <w:tabs>
          <w:tab w:val="left" w:pos="-720"/>
        </w:tabs>
        <w:ind w:left="720" w:right="720"/>
        <w:jc w:val="both"/>
        <w:rPr>
          <w:spacing w:val="-3"/>
        </w:rPr>
      </w:pPr>
    </w:p>
    <w:sectPr w:rsidR="00F01A0B" w:rsidRPr="00A352C6" w:rsidSect="00536BE1">
      <w:headerReference w:type="default" r:id="rId7"/>
      <w:type w:val="continuous"/>
      <w:pgSz w:w="12240" w:h="15840"/>
      <w:pgMar w:top="1008" w:right="1440" w:bottom="1440" w:left="1440" w:header="1008" w:footer="144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0EF97" w14:textId="77777777" w:rsidR="009F0D4E" w:rsidRDefault="009F0D4E">
      <w:pPr>
        <w:widowControl/>
        <w:spacing w:line="20" w:lineRule="exact"/>
        <w:rPr>
          <w:sz w:val="24"/>
          <w:szCs w:val="24"/>
        </w:rPr>
      </w:pPr>
    </w:p>
  </w:endnote>
  <w:endnote w:type="continuationSeparator" w:id="0">
    <w:p w14:paraId="7460237E" w14:textId="77777777" w:rsidR="009F0D4E" w:rsidRDefault="009F0D4E" w:rsidP="005E48A0">
      <w:r>
        <w:rPr>
          <w:sz w:val="24"/>
          <w:szCs w:val="24"/>
        </w:rPr>
        <w:t xml:space="preserve"> </w:t>
      </w:r>
    </w:p>
  </w:endnote>
  <w:endnote w:type="continuationNotice" w:id="1">
    <w:p w14:paraId="255A7932" w14:textId="77777777" w:rsidR="009F0D4E" w:rsidRDefault="009F0D4E" w:rsidP="005E48A0">
      <w:r>
        <w:rPr>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71470" w14:textId="77777777" w:rsidR="009F0D4E" w:rsidRDefault="009F0D4E" w:rsidP="005E48A0">
      <w:r>
        <w:rPr>
          <w:sz w:val="24"/>
          <w:szCs w:val="24"/>
        </w:rPr>
        <w:separator/>
      </w:r>
    </w:p>
  </w:footnote>
  <w:footnote w:type="continuationSeparator" w:id="0">
    <w:p w14:paraId="160B1C37" w14:textId="77777777" w:rsidR="009F0D4E" w:rsidRDefault="009F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7B1C1" w14:textId="77777777" w:rsidR="00A3689A" w:rsidRDefault="00A3689A" w:rsidP="0016329A">
    <w:pPr>
      <w:pStyle w:val="Header"/>
      <w:tabs>
        <w:tab w:val="clear" w:pos="4320"/>
        <w:tab w:val="clear" w:pos="8640"/>
      </w:tabs>
      <w:jc w:val="right"/>
      <w:rPr>
        <w:b/>
      </w:rPr>
    </w:pPr>
    <w:r w:rsidRPr="0016329A">
      <w:t xml:space="preserve"> </w:t>
    </w:r>
    <w:r w:rsidRPr="0016329A">
      <w:rPr>
        <w:b/>
        <w:spacing w:val="-3"/>
      </w:rPr>
      <w:t>CHARGE 5.10A ―</w:t>
    </w:r>
    <w:r w:rsidRPr="0016329A">
      <w:rPr>
        <w:rFonts w:ascii="Times New Roman Bold" w:hAnsi="Times New Roman Bold"/>
        <w:b/>
        <w:spacing w:val="-3"/>
      </w:rPr>
      <w:t xml:space="preserve"> </w:t>
    </w:r>
    <w:sdt>
      <w:sdtPr>
        <w:rPr>
          <w:b/>
        </w:rPr>
        <w:id w:val="-1318336367"/>
        <w:docPartObj>
          <w:docPartGallery w:val="Page Numbers (Top of Page)"/>
          <w:docPartUnique/>
        </w:docPartObj>
      </w:sdtPr>
      <w:sdtEndPr/>
      <w:sdtContent>
        <w:r w:rsidRPr="0016329A">
          <w:rPr>
            <w:b/>
          </w:rPr>
          <w:t xml:space="preserve">Page </w:t>
        </w:r>
        <w:r w:rsidRPr="0016329A">
          <w:rPr>
            <w:b/>
            <w:bCs/>
          </w:rPr>
          <w:fldChar w:fldCharType="begin"/>
        </w:r>
        <w:r w:rsidRPr="0016329A">
          <w:rPr>
            <w:b/>
            <w:bCs/>
          </w:rPr>
          <w:instrText xml:space="preserve"> PAGE </w:instrText>
        </w:r>
        <w:r w:rsidRPr="0016329A">
          <w:rPr>
            <w:b/>
            <w:bCs/>
          </w:rPr>
          <w:fldChar w:fldCharType="separate"/>
        </w:r>
        <w:r w:rsidR="00536BE1">
          <w:rPr>
            <w:b/>
            <w:bCs/>
            <w:noProof/>
          </w:rPr>
          <w:t>2</w:t>
        </w:r>
        <w:r w:rsidRPr="0016329A">
          <w:rPr>
            <w:b/>
            <w:bCs/>
          </w:rPr>
          <w:fldChar w:fldCharType="end"/>
        </w:r>
        <w:r w:rsidRPr="0016329A">
          <w:rPr>
            <w:b/>
          </w:rPr>
          <w:t xml:space="preserve"> of </w:t>
        </w:r>
        <w:r w:rsidRPr="0016329A">
          <w:rPr>
            <w:b/>
            <w:bCs/>
          </w:rPr>
          <w:fldChar w:fldCharType="begin"/>
        </w:r>
        <w:r w:rsidRPr="0016329A">
          <w:rPr>
            <w:b/>
            <w:bCs/>
          </w:rPr>
          <w:instrText xml:space="preserve"> NUMPAGES  </w:instrText>
        </w:r>
        <w:r w:rsidRPr="0016329A">
          <w:rPr>
            <w:b/>
            <w:bCs/>
          </w:rPr>
          <w:fldChar w:fldCharType="separate"/>
        </w:r>
        <w:r w:rsidR="00536BE1">
          <w:rPr>
            <w:b/>
            <w:bCs/>
            <w:noProof/>
          </w:rPr>
          <w:t>2</w:t>
        </w:r>
        <w:r w:rsidRPr="0016329A">
          <w:rPr>
            <w:b/>
            <w:bCs/>
          </w:rPr>
          <w:fldChar w:fldCharType="end"/>
        </w:r>
      </w:sdtContent>
    </w:sdt>
  </w:p>
  <w:p w14:paraId="743B1951" w14:textId="77777777" w:rsidR="0016329A" w:rsidRPr="0016329A" w:rsidRDefault="0016329A" w:rsidP="0016329A">
    <w:pPr>
      <w:pStyle w:val="Header"/>
      <w:tabs>
        <w:tab w:val="clear" w:pos="4320"/>
        <w:tab w:val="clear" w:pos="8640"/>
      </w:tabs>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16cid:durableId="881134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8A0"/>
    <w:rsid w:val="000161AB"/>
    <w:rsid w:val="00066AAE"/>
    <w:rsid w:val="000D4221"/>
    <w:rsid w:val="00130735"/>
    <w:rsid w:val="0013740F"/>
    <w:rsid w:val="0016329A"/>
    <w:rsid w:val="002306D6"/>
    <w:rsid w:val="002B3138"/>
    <w:rsid w:val="00326D8B"/>
    <w:rsid w:val="0037379B"/>
    <w:rsid w:val="004C5E8A"/>
    <w:rsid w:val="004D11D0"/>
    <w:rsid w:val="00527D08"/>
    <w:rsid w:val="00532193"/>
    <w:rsid w:val="00536BE1"/>
    <w:rsid w:val="005E48A0"/>
    <w:rsid w:val="006931FC"/>
    <w:rsid w:val="006C01FB"/>
    <w:rsid w:val="006F5B6C"/>
    <w:rsid w:val="00760456"/>
    <w:rsid w:val="0079109A"/>
    <w:rsid w:val="007E1273"/>
    <w:rsid w:val="007F28CF"/>
    <w:rsid w:val="00833887"/>
    <w:rsid w:val="00873A06"/>
    <w:rsid w:val="008B1BE8"/>
    <w:rsid w:val="00927597"/>
    <w:rsid w:val="00951BAE"/>
    <w:rsid w:val="00974DB9"/>
    <w:rsid w:val="009F0D4E"/>
    <w:rsid w:val="00A352C6"/>
    <w:rsid w:val="00A3689A"/>
    <w:rsid w:val="00A56D67"/>
    <w:rsid w:val="00A702BF"/>
    <w:rsid w:val="00AC2386"/>
    <w:rsid w:val="00B164EE"/>
    <w:rsid w:val="00BE5948"/>
    <w:rsid w:val="00C20346"/>
    <w:rsid w:val="00C2262A"/>
    <w:rsid w:val="00D220DE"/>
    <w:rsid w:val="00D93EF4"/>
    <w:rsid w:val="00DB2849"/>
    <w:rsid w:val="00DE5AF7"/>
    <w:rsid w:val="00DF3D82"/>
    <w:rsid w:val="00F01A0B"/>
    <w:rsid w:val="00F6632C"/>
    <w:rsid w:val="00F93854"/>
    <w:rsid w:val="00F93C0D"/>
    <w:rsid w:val="00FB6975"/>
    <w:rsid w:val="00FF6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oNotEmbedSmartTags/>
  <w:decimalSymbol w:val="."/>
  <w:listSeparator w:val=","/>
  <w14:docId w14:val="235CE029"/>
  <w15:chartTrackingRefBased/>
  <w15:docId w15:val="{137C03CB-5942-436B-B9AB-66B97D71F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szCs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szCs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720" w:right="720"/>
    </w:pPr>
  </w:style>
  <w:style w:type="paragraph" w:styleId="TOC3">
    <w:name w:val="toc 3"/>
    <w:basedOn w:val="Normal"/>
    <w:next w:val="Normal"/>
    <w:autoRedefine/>
    <w:semiHidden/>
    <w:pPr>
      <w:tabs>
        <w:tab w:val="right" w:leader="dot" w:pos="9360"/>
      </w:tabs>
      <w:suppressAutoHyphens/>
      <w:spacing w:line="240" w:lineRule="atLeast"/>
      <w:ind w:left="720" w:right="720"/>
    </w:pPr>
  </w:style>
  <w:style w:type="paragraph" w:styleId="TOC4">
    <w:name w:val="toc 4"/>
    <w:basedOn w:val="Normal"/>
    <w:next w:val="Normal"/>
    <w:autoRedefine/>
    <w:semiHidden/>
    <w:pPr>
      <w:tabs>
        <w:tab w:val="right" w:leader="dot" w:pos="9360"/>
      </w:tabs>
      <w:suppressAutoHyphens/>
      <w:spacing w:line="240" w:lineRule="atLeast"/>
      <w:ind w:left="720" w:right="720"/>
    </w:pPr>
  </w:style>
  <w:style w:type="paragraph" w:styleId="TOC5">
    <w:name w:val="toc 5"/>
    <w:basedOn w:val="Normal"/>
    <w:next w:val="Normal"/>
    <w:autoRedefine/>
    <w:semiHidden/>
    <w:pPr>
      <w:tabs>
        <w:tab w:val="right" w:leader="dot" w:pos="9360"/>
      </w:tabs>
      <w:suppressAutoHyphens/>
      <w:spacing w:line="240" w:lineRule="atLeast"/>
      <w:ind w:left="720" w:right="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720" w:hanging="720"/>
    </w:pPr>
  </w:style>
  <w:style w:type="paragraph" w:styleId="Index2">
    <w:name w:val="index 2"/>
    <w:basedOn w:val="Normal"/>
    <w:next w:val="Normal"/>
    <w:autoRedefine/>
    <w:semiHidden/>
    <w:pPr>
      <w:tabs>
        <w:tab w:val="right" w:leader="dot" w:pos="9360"/>
      </w:tabs>
      <w:suppressAutoHyphens/>
      <w:spacing w:line="240" w:lineRule="atLeast"/>
      <w:ind w:left="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4"/>
      <w:szCs w:val="24"/>
    </w:rPr>
  </w:style>
  <w:style w:type="character" w:customStyle="1" w:styleId="EquationCaption">
    <w:name w:val="_Equation Caption"/>
  </w:style>
  <w:style w:type="paragraph" w:styleId="Header">
    <w:name w:val="header"/>
    <w:basedOn w:val="Normal"/>
    <w:link w:val="HeaderChar"/>
    <w:uiPriority w:val="99"/>
    <w:rsid w:val="006F5B6C"/>
    <w:pPr>
      <w:tabs>
        <w:tab w:val="center" w:pos="4320"/>
        <w:tab w:val="right" w:pos="8640"/>
      </w:tabs>
    </w:pPr>
  </w:style>
  <w:style w:type="paragraph" w:styleId="Footer">
    <w:name w:val="footer"/>
    <w:basedOn w:val="Normal"/>
    <w:rsid w:val="006F5B6C"/>
    <w:pPr>
      <w:tabs>
        <w:tab w:val="center" w:pos="4320"/>
        <w:tab w:val="right" w:pos="8640"/>
      </w:tabs>
    </w:pPr>
  </w:style>
  <w:style w:type="paragraph" w:styleId="BalloonText">
    <w:name w:val="Balloon Text"/>
    <w:basedOn w:val="Normal"/>
    <w:semiHidden/>
    <w:rsid w:val="00F93C0D"/>
    <w:rPr>
      <w:rFonts w:ascii="Tahoma" w:hAnsi="Tahoma" w:cs="Tahoma"/>
      <w:sz w:val="16"/>
      <w:szCs w:val="16"/>
    </w:rPr>
  </w:style>
  <w:style w:type="character" w:customStyle="1" w:styleId="HeaderChar">
    <w:name w:val="Header Char"/>
    <w:basedOn w:val="DefaultParagraphFont"/>
    <w:link w:val="Header"/>
    <w:uiPriority w:val="99"/>
    <w:rsid w:val="00A3689A"/>
    <w:rPr>
      <w:sz w:val="28"/>
      <w:szCs w:val="28"/>
    </w:rPr>
  </w:style>
  <w:style w:type="paragraph" w:styleId="Revision">
    <w:name w:val="Revision"/>
    <w:hidden/>
    <w:uiPriority w:val="99"/>
    <w:semiHidden/>
    <w:rsid w:val="0037379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7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516</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5</vt:lpstr>
    </vt:vector>
  </TitlesOfParts>
  <Company>State Of New Jersey</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Administrator</dc:creator>
  <cp:keywords/>
  <dc:description/>
  <cp:lastModifiedBy>Kristi Robinson</cp:lastModifiedBy>
  <cp:revision>10</cp:revision>
  <cp:lastPrinted>2007-02-05T14:35:00Z</cp:lastPrinted>
  <dcterms:created xsi:type="dcterms:W3CDTF">2021-10-19T13:14:00Z</dcterms:created>
  <dcterms:modified xsi:type="dcterms:W3CDTF">2022-10-19T16:10:00Z</dcterms:modified>
</cp:coreProperties>
</file>