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6FFC2" w14:textId="77777777" w:rsidR="00D957C5" w:rsidRDefault="00884B92" w:rsidP="0033416A">
      <w:pPr>
        <w:ind w:left="1440" w:hanging="1440"/>
        <w:rPr>
          <w:spacing w:val="-3"/>
        </w:rPr>
      </w:pPr>
      <w:r>
        <w:rPr>
          <w:b/>
          <w:spacing w:val="-3"/>
        </w:rPr>
        <w:t>5.10</w:t>
      </w:r>
      <w:r w:rsidR="0033416A">
        <w:rPr>
          <w:b/>
          <w:spacing w:val="-3"/>
        </w:rPr>
        <w:t>B</w:t>
      </w:r>
      <w:r w:rsidR="0033416A">
        <w:rPr>
          <w:b/>
          <w:spacing w:val="-3"/>
        </w:rPr>
        <w:tab/>
      </w:r>
      <w:r w:rsidR="0033416A">
        <w:rPr>
          <w:b/>
          <w:spacing w:val="-3"/>
        </w:rPr>
        <w:tab/>
      </w:r>
      <w:r w:rsidR="00D957C5">
        <w:rPr>
          <w:b/>
          <w:spacing w:val="-3"/>
        </w:rPr>
        <w:t>FORESEEABILITY (AS AFFECTING NEGLIGENCE)</w:t>
      </w:r>
      <w:r w:rsidR="00D957C5">
        <w:rPr>
          <w:spacing w:val="-3"/>
        </w:rPr>
        <w:t xml:space="preserve"> </w:t>
      </w:r>
    </w:p>
    <w:p w14:paraId="41DE8C3E" w14:textId="77777777" w:rsidR="00D957C5" w:rsidRDefault="00D957C5" w:rsidP="00884B92">
      <w:pPr>
        <w:ind w:left="720" w:firstLine="720"/>
        <w:rPr>
          <w:spacing w:val="-3"/>
        </w:rPr>
      </w:pPr>
      <w:r>
        <w:rPr>
          <w:spacing w:val="-3"/>
        </w:rPr>
        <w:t>(Approved before 1984</w:t>
      </w:r>
      <w:r w:rsidR="006113ED">
        <w:rPr>
          <w:spacing w:val="-3"/>
        </w:rPr>
        <w:t>; Revised 10/2022</w:t>
      </w:r>
      <w:r>
        <w:rPr>
          <w:spacing w:val="-3"/>
        </w:rPr>
        <w:t>)</w:t>
      </w:r>
    </w:p>
    <w:p w14:paraId="11B70D67" w14:textId="77777777" w:rsidR="00D957C5" w:rsidRDefault="00D957C5">
      <w:pPr>
        <w:tabs>
          <w:tab w:val="left" w:pos="-720"/>
        </w:tabs>
        <w:spacing w:before="240" w:after="120" w:line="480" w:lineRule="auto"/>
        <w:jc w:val="both"/>
        <w:rPr>
          <w:spacing w:val="-3"/>
        </w:rPr>
      </w:pPr>
      <w:r>
        <w:rPr>
          <w:spacing w:val="-3"/>
        </w:rPr>
        <w:tab/>
        <w:t>In determining whether reasonable care has been exercised, you will consider whether the defendant ought to have foreseen, under th</w:t>
      </w:r>
      <w:r w:rsidR="005D5872">
        <w:rPr>
          <w:spacing w:val="-3"/>
        </w:rPr>
        <w:t xml:space="preserve">e attending circumstances, </w:t>
      </w:r>
      <w:r w:rsidR="00AF2EBB">
        <w:rPr>
          <w:spacing w:val="-3"/>
        </w:rPr>
        <w:t xml:space="preserve">that </w:t>
      </w:r>
      <w:r>
        <w:rPr>
          <w:spacing w:val="-3"/>
        </w:rPr>
        <w:t xml:space="preserve">the natural and probable consequence of </w:t>
      </w:r>
      <w:r w:rsidR="006113ED">
        <w:rPr>
          <w:spacing w:val="-3"/>
        </w:rPr>
        <w:t>the defendant’s</w:t>
      </w:r>
      <w:r>
        <w:rPr>
          <w:spacing w:val="-3"/>
        </w:rPr>
        <w:t xml:space="preserve"> act or omission to act would have been some injury.  It is not necessary that the defendant have anticipated the very occurrence which resulted from </w:t>
      </w:r>
      <w:r w:rsidR="006113ED">
        <w:rPr>
          <w:spacing w:val="-3"/>
        </w:rPr>
        <w:t>the defendant’s</w:t>
      </w:r>
      <w:r>
        <w:rPr>
          <w:spacing w:val="-3"/>
        </w:rPr>
        <w:t xml:space="preserve"> wrongdoing</w:t>
      </w:r>
      <w:r w:rsidR="006113ED">
        <w:rPr>
          <w:spacing w:val="-3"/>
        </w:rPr>
        <w:t>,</w:t>
      </w:r>
      <w:r>
        <w:rPr>
          <w:spacing w:val="-3"/>
        </w:rPr>
        <w:t xml:space="preserve"> but it is sufficient that it was within the realm of foreseeability that some harm might occur thereby.  The test is the probable and foreseeable consequences that may reasonably be anticipated from the performance, or the failure to perform, a particular act.  If an ordinary person, under similar circumstances and </w:t>
      </w:r>
      <w:proofErr w:type="gramStart"/>
      <w:r>
        <w:rPr>
          <w:spacing w:val="-3"/>
        </w:rPr>
        <w:t>by the use of</w:t>
      </w:r>
      <w:proofErr w:type="gramEnd"/>
      <w:r>
        <w:rPr>
          <w:spacing w:val="-3"/>
        </w:rPr>
        <w:t xml:space="preserve"> ordinary care</w:t>
      </w:r>
      <w:r w:rsidR="005D5872">
        <w:rPr>
          <w:spacing w:val="-3"/>
        </w:rPr>
        <w:t>,</w:t>
      </w:r>
      <w:r>
        <w:rPr>
          <w:spacing w:val="-3"/>
        </w:rPr>
        <w:t xml:space="preserve"> could have foreseen the result, [</w:t>
      </w:r>
      <w:r>
        <w:rPr>
          <w:i/>
          <w:spacing w:val="-3"/>
        </w:rPr>
        <w:t>i.e</w:t>
      </w:r>
      <w:r>
        <w:rPr>
          <w:spacing w:val="-3"/>
        </w:rPr>
        <w:t xml:space="preserve">., that some injury or damage would probably result] and either would not have acted or, if </w:t>
      </w:r>
      <w:r w:rsidR="00F15116">
        <w:rPr>
          <w:spacing w:val="-3"/>
        </w:rPr>
        <w:t>the person</w:t>
      </w:r>
      <w:r>
        <w:rPr>
          <w:spacing w:val="-3"/>
        </w:rPr>
        <w:t xml:space="preserve"> did act, would have taken precaution to avoid the result, then the performance of the act or the failure to take such precautions would constitute negligence.</w:t>
      </w:r>
    </w:p>
    <w:p w14:paraId="3689EAF5" w14:textId="77777777" w:rsidR="00D957C5" w:rsidRDefault="00D957C5" w:rsidP="005F32C5">
      <w:pPr>
        <w:tabs>
          <w:tab w:val="left" w:pos="-720"/>
        </w:tabs>
        <w:spacing w:after="120"/>
        <w:jc w:val="both"/>
        <w:rPr>
          <w:b/>
          <w:spacing w:val="-3"/>
        </w:rPr>
      </w:pPr>
      <w:r>
        <w:rPr>
          <w:b/>
          <w:spacing w:val="-3"/>
          <w:u w:val="single"/>
        </w:rPr>
        <w:t>Cases</w:t>
      </w:r>
      <w:r>
        <w:rPr>
          <w:b/>
          <w:spacing w:val="-3"/>
        </w:rPr>
        <w:t>:</w:t>
      </w:r>
    </w:p>
    <w:p w14:paraId="640777DE" w14:textId="77777777" w:rsidR="00D957C5" w:rsidRDefault="00BE468B" w:rsidP="005F32C5">
      <w:pPr>
        <w:tabs>
          <w:tab w:val="left" w:pos="-720"/>
        </w:tabs>
        <w:spacing w:after="120"/>
        <w:ind w:left="720" w:right="720"/>
        <w:jc w:val="both"/>
        <w:rPr>
          <w:spacing w:val="-3"/>
        </w:rPr>
      </w:pPr>
      <w:r>
        <w:rPr>
          <w:i/>
          <w:spacing w:val="-3"/>
        </w:rPr>
        <w:t xml:space="preserve">Coleman v. Martinez, </w:t>
      </w:r>
      <w:r w:rsidRPr="00BE468B">
        <w:rPr>
          <w:iCs/>
          <w:spacing w:val="-3"/>
        </w:rPr>
        <w:t>247</w:t>
      </w:r>
      <w:r>
        <w:rPr>
          <w:i/>
          <w:spacing w:val="-3"/>
        </w:rPr>
        <w:t xml:space="preserve"> N.J. </w:t>
      </w:r>
      <w:r w:rsidRPr="00BE468B">
        <w:rPr>
          <w:iCs/>
          <w:spacing w:val="-3"/>
        </w:rPr>
        <w:t>319</w:t>
      </w:r>
      <w:r>
        <w:rPr>
          <w:i/>
          <w:spacing w:val="-3"/>
        </w:rPr>
        <w:t xml:space="preserve"> </w:t>
      </w:r>
      <w:r>
        <w:rPr>
          <w:iCs/>
          <w:spacing w:val="-3"/>
        </w:rPr>
        <w:t>(2021)</w:t>
      </w:r>
      <w:r w:rsidR="005446C9">
        <w:rPr>
          <w:iCs/>
          <w:spacing w:val="-3"/>
        </w:rPr>
        <w:t xml:space="preserve"> (</w:t>
      </w:r>
      <w:r>
        <w:rPr>
          <w:iCs/>
          <w:spacing w:val="-3"/>
        </w:rPr>
        <w:t>when the risk of harm is posed by third persons, a plaintiff may be required to prove that defendant was in a position to know or have reason to know, from past experience, that there was a likelihood of conduct on the part of the third person that was likely to endanger the safety of another</w:t>
      </w:r>
      <w:r w:rsidR="005446C9">
        <w:rPr>
          <w:iCs/>
          <w:spacing w:val="-3"/>
        </w:rPr>
        <w:t xml:space="preserve">); </w:t>
      </w:r>
      <w:r w:rsidR="00D957C5">
        <w:rPr>
          <w:i/>
          <w:spacing w:val="-3"/>
        </w:rPr>
        <w:t>Lutz v. Westwood Transportation Co</w:t>
      </w:r>
      <w:r w:rsidR="00D957C5">
        <w:rPr>
          <w:spacing w:val="-3"/>
        </w:rPr>
        <w:t xml:space="preserve">., 31 </w:t>
      </w:r>
      <w:r w:rsidR="00D957C5">
        <w:rPr>
          <w:i/>
          <w:spacing w:val="-3"/>
        </w:rPr>
        <w:t>N.J</w:t>
      </w:r>
      <w:r w:rsidR="00D957C5">
        <w:rPr>
          <w:spacing w:val="-3"/>
        </w:rPr>
        <w:t xml:space="preserve">. </w:t>
      </w:r>
      <w:r w:rsidR="00D957C5">
        <w:rPr>
          <w:i/>
          <w:spacing w:val="-3"/>
        </w:rPr>
        <w:t>Super</w:t>
      </w:r>
      <w:r w:rsidR="00D957C5">
        <w:rPr>
          <w:spacing w:val="-3"/>
        </w:rPr>
        <w:t xml:space="preserve">. 285 (App. Div. </w:t>
      </w:r>
      <w:r w:rsidR="00D957C5">
        <w:rPr>
          <w:spacing w:val="-3"/>
        </w:rPr>
        <w:lastRenderedPageBreak/>
        <w:t xml:space="preserve">1954), </w:t>
      </w:r>
      <w:r w:rsidR="00D957C5">
        <w:rPr>
          <w:i/>
          <w:spacing w:val="-3"/>
        </w:rPr>
        <w:t>certif. denied</w:t>
      </w:r>
      <w:r w:rsidR="00D957C5">
        <w:rPr>
          <w:spacing w:val="-3"/>
        </w:rPr>
        <w:t xml:space="preserve">, 16 </w:t>
      </w:r>
      <w:r w:rsidR="00D957C5">
        <w:rPr>
          <w:i/>
          <w:spacing w:val="-3"/>
        </w:rPr>
        <w:t>N.J</w:t>
      </w:r>
      <w:r w:rsidR="00D957C5">
        <w:rPr>
          <w:spacing w:val="-3"/>
        </w:rPr>
        <w:t xml:space="preserve">. 205 (1954); </w:t>
      </w:r>
      <w:r w:rsidR="00D957C5">
        <w:rPr>
          <w:i/>
          <w:spacing w:val="-3"/>
        </w:rPr>
        <w:t>Glaser v. Hackensack Water Co</w:t>
      </w:r>
      <w:r w:rsidR="00D957C5">
        <w:rPr>
          <w:spacing w:val="-3"/>
        </w:rPr>
        <w:t xml:space="preserve">., 49 </w:t>
      </w:r>
      <w:r w:rsidR="00D957C5">
        <w:rPr>
          <w:i/>
          <w:spacing w:val="-3"/>
        </w:rPr>
        <w:t>N.J</w:t>
      </w:r>
      <w:r w:rsidR="00D957C5">
        <w:rPr>
          <w:spacing w:val="-3"/>
        </w:rPr>
        <w:t xml:space="preserve">. </w:t>
      </w:r>
      <w:r w:rsidR="00D957C5">
        <w:rPr>
          <w:i/>
          <w:spacing w:val="-3"/>
        </w:rPr>
        <w:t>Super</w:t>
      </w:r>
      <w:r w:rsidR="00D957C5">
        <w:rPr>
          <w:spacing w:val="-3"/>
        </w:rPr>
        <w:t xml:space="preserve">. 591 (App. Div. 1958); </w:t>
      </w:r>
      <w:r w:rsidR="00D957C5">
        <w:rPr>
          <w:i/>
          <w:spacing w:val="-3"/>
        </w:rPr>
        <w:t>Martin v. Bengue, Inc</w:t>
      </w:r>
      <w:r w:rsidR="00D957C5">
        <w:rPr>
          <w:spacing w:val="-3"/>
        </w:rPr>
        <w:t xml:space="preserve">., 25 </w:t>
      </w:r>
      <w:r w:rsidR="00D957C5">
        <w:rPr>
          <w:i/>
          <w:spacing w:val="-3"/>
        </w:rPr>
        <w:t>N.J</w:t>
      </w:r>
      <w:r w:rsidR="00D957C5">
        <w:rPr>
          <w:spacing w:val="-3"/>
        </w:rPr>
        <w:t xml:space="preserve">. 359 (1957); </w:t>
      </w:r>
      <w:r w:rsidR="00D957C5">
        <w:rPr>
          <w:i/>
          <w:spacing w:val="-3"/>
        </w:rPr>
        <w:t>Menth v. Breeze Corporation</w:t>
      </w:r>
      <w:r w:rsidR="00D957C5">
        <w:rPr>
          <w:spacing w:val="-3"/>
        </w:rPr>
        <w:t xml:space="preserve">, 4 </w:t>
      </w:r>
      <w:r w:rsidR="00D957C5">
        <w:rPr>
          <w:i/>
          <w:spacing w:val="-3"/>
        </w:rPr>
        <w:t>N.J</w:t>
      </w:r>
      <w:r w:rsidR="00D957C5">
        <w:rPr>
          <w:spacing w:val="-3"/>
        </w:rPr>
        <w:t xml:space="preserve">. 428 (1950); </w:t>
      </w:r>
      <w:r w:rsidR="00D957C5">
        <w:rPr>
          <w:i/>
          <w:spacing w:val="-3"/>
        </w:rPr>
        <w:t>Andreoli v. Natural Gas Co</w:t>
      </w:r>
      <w:r w:rsidR="00D957C5">
        <w:rPr>
          <w:spacing w:val="-3"/>
        </w:rPr>
        <w:t xml:space="preserve">., 57 </w:t>
      </w:r>
      <w:r w:rsidR="00D957C5">
        <w:rPr>
          <w:i/>
          <w:spacing w:val="-3"/>
        </w:rPr>
        <w:t>N.J</w:t>
      </w:r>
      <w:r w:rsidR="00D957C5">
        <w:rPr>
          <w:spacing w:val="-3"/>
        </w:rPr>
        <w:t xml:space="preserve">. </w:t>
      </w:r>
      <w:r w:rsidR="00D957C5">
        <w:rPr>
          <w:i/>
          <w:spacing w:val="-3"/>
        </w:rPr>
        <w:t>Super</w:t>
      </w:r>
      <w:r w:rsidR="00D957C5">
        <w:rPr>
          <w:spacing w:val="-3"/>
        </w:rPr>
        <w:t xml:space="preserve">. 356 (App. Div. 1959); </w:t>
      </w:r>
      <w:r w:rsidR="00D957C5">
        <w:rPr>
          <w:i/>
          <w:spacing w:val="-3"/>
        </w:rPr>
        <w:t>Avedisian v. Admiral Realty Corp</w:t>
      </w:r>
      <w:r w:rsidR="00D957C5">
        <w:rPr>
          <w:spacing w:val="-3"/>
        </w:rPr>
        <w:t xml:space="preserve">., 63 </w:t>
      </w:r>
      <w:r w:rsidR="00D957C5">
        <w:rPr>
          <w:i/>
          <w:spacing w:val="-3"/>
        </w:rPr>
        <w:t>N.J</w:t>
      </w:r>
      <w:r w:rsidR="00D957C5">
        <w:rPr>
          <w:spacing w:val="-3"/>
        </w:rPr>
        <w:t xml:space="preserve">. </w:t>
      </w:r>
      <w:r w:rsidR="00D957C5">
        <w:rPr>
          <w:i/>
          <w:spacing w:val="-3"/>
        </w:rPr>
        <w:t>Super</w:t>
      </w:r>
      <w:r w:rsidR="00D957C5">
        <w:rPr>
          <w:spacing w:val="-3"/>
        </w:rPr>
        <w:t xml:space="preserve">. 129 (App. Div. 1960); 2 </w:t>
      </w:r>
      <w:r w:rsidR="00D957C5">
        <w:rPr>
          <w:i/>
          <w:spacing w:val="-3"/>
        </w:rPr>
        <w:t>Ohio Jury Instructions</w:t>
      </w:r>
      <w:r w:rsidR="00D957C5">
        <w:rPr>
          <w:spacing w:val="-3"/>
        </w:rPr>
        <w:t xml:space="preserve">, </w:t>
      </w:r>
      <w:r w:rsidR="00D957C5">
        <w:rPr>
          <w:i/>
          <w:spacing w:val="-3"/>
        </w:rPr>
        <w:t>Civil</w:t>
      </w:r>
      <w:r w:rsidR="00D957C5">
        <w:rPr>
          <w:spacing w:val="-3"/>
        </w:rPr>
        <w:t xml:space="preserve">, 7.12; </w:t>
      </w:r>
      <w:r w:rsidR="00D957C5" w:rsidRPr="005D5E95">
        <w:rPr>
          <w:i/>
          <w:spacing w:val="-3"/>
        </w:rPr>
        <w:t>see also</w:t>
      </w:r>
      <w:r w:rsidR="00D957C5">
        <w:rPr>
          <w:spacing w:val="-3"/>
        </w:rPr>
        <w:t xml:space="preserve"> instructions </w:t>
      </w:r>
      <w:r w:rsidR="00884B92">
        <w:rPr>
          <w:spacing w:val="-3"/>
        </w:rPr>
        <w:t>in Chapter 7</w:t>
      </w:r>
      <w:r w:rsidR="005D5872" w:rsidRPr="00884B92">
        <w:rPr>
          <w:spacing w:val="-3"/>
        </w:rPr>
        <w:t xml:space="preserve">, </w:t>
      </w:r>
      <w:r w:rsidR="00884B92" w:rsidRPr="00884B92">
        <w:rPr>
          <w:spacing w:val="-3"/>
        </w:rPr>
        <w:t>below</w:t>
      </w:r>
      <w:r w:rsidR="005D5872" w:rsidRPr="00884B92">
        <w:rPr>
          <w:spacing w:val="-3"/>
        </w:rPr>
        <w:t xml:space="preserve"> a</w:t>
      </w:r>
      <w:r w:rsidR="00D957C5" w:rsidRPr="00884B92">
        <w:rPr>
          <w:spacing w:val="-3"/>
        </w:rPr>
        <w:t>s t</w:t>
      </w:r>
      <w:r w:rsidR="00D957C5">
        <w:rPr>
          <w:spacing w:val="-3"/>
        </w:rPr>
        <w:t>o Proximate Cause.</w:t>
      </w:r>
    </w:p>
    <w:sectPr w:rsidR="00D957C5" w:rsidSect="00D55C9E">
      <w:headerReference w:type="default" r:id="rId9"/>
      <w:endnotePr>
        <w:numFmt w:val="decimal"/>
      </w:endnotePr>
      <w:type w:val="continuous"/>
      <w:pgSz w:w="12240" w:h="15840" w:code="1"/>
      <w:pgMar w:top="720" w:right="1440" w:bottom="1440" w:left="1440" w:header="720" w:footer="1440" w:gutter="28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770A7" w14:textId="77777777" w:rsidR="001C5525" w:rsidRDefault="001C5525">
      <w:pPr>
        <w:widowControl/>
        <w:spacing w:line="20" w:lineRule="exact"/>
        <w:rPr>
          <w:sz w:val="24"/>
        </w:rPr>
      </w:pPr>
    </w:p>
  </w:endnote>
  <w:endnote w:type="continuationSeparator" w:id="0">
    <w:p w14:paraId="5AD4B4CE" w14:textId="77777777" w:rsidR="001C5525" w:rsidRDefault="001C5525">
      <w:r>
        <w:rPr>
          <w:sz w:val="24"/>
        </w:rPr>
        <w:t xml:space="preserve"> </w:t>
      </w:r>
    </w:p>
  </w:endnote>
  <w:endnote w:type="continuationNotice" w:id="1">
    <w:p w14:paraId="2131BD00" w14:textId="77777777" w:rsidR="001C5525" w:rsidRDefault="001C552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E68B4" w14:textId="77777777" w:rsidR="001C5525" w:rsidRDefault="001C5525">
      <w:r>
        <w:rPr>
          <w:sz w:val="24"/>
        </w:rPr>
        <w:separator/>
      </w:r>
    </w:p>
  </w:footnote>
  <w:footnote w:type="continuationSeparator" w:id="0">
    <w:p w14:paraId="39C310D3" w14:textId="77777777" w:rsidR="001C5525" w:rsidRDefault="001C5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3A5B" w14:textId="77777777" w:rsidR="003B28B5" w:rsidRPr="00254A72" w:rsidRDefault="003B28B5">
    <w:pPr>
      <w:pStyle w:val="Heading1"/>
      <w:rPr>
        <w:smallCaps w:val="0"/>
        <w:sz w:val="28"/>
        <w:szCs w:val="28"/>
      </w:rPr>
    </w:pPr>
    <w:r>
      <w:tab/>
    </w:r>
    <w:r w:rsidRPr="00254A72">
      <w:rPr>
        <w:smallCaps w:val="0"/>
        <w:sz w:val="28"/>
        <w:szCs w:val="28"/>
      </w:rPr>
      <w:t xml:space="preserve">CHARGE 5.10B ― Page </w:t>
    </w:r>
    <w:r w:rsidRPr="00254A72">
      <w:rPr>
        <w:smallCaps w:val="0"/>
        <w:sz w:val="28"/>
        <w:szCs w:val="28"/>
      </w:rPr>
      <w:fldChar w:fldCharType="begin"/>
    </w:r>
    <w:r w:rsidRPr="00254A72">
      <w:rPr>
        <w:smallCaps w:val="0"/>
        <w:sz w:val="28"/>
        <w:szCs w:val="28"/>
      </w:rPr>
      <w:instrText xml:space="preserve"> PAGE </w:instrText>
    </w:r>
    <w:r w:rsidRPr="00254A72">
      <w:rPr>
        <w:smallCaps w:val="0"/>
        <w:sz w:val="28"/>
        <w:szCs w:val="28"/>
      </w:rPr>
      <w:fldChar w:fldCharType="separate"/>
    </w:r>
    <w:r w:rsidR="00806799" w:rsidRPr="00254A72">
      <w:rPr>
        <w:smallCaps w:val="0"/>
        <w:noProof/>
        <w:sz w:val="28"/>
        <w:szCs w:val="28"/>
      </w:rPr>
      <w:t>1</w:t>
    </w:r>
    <w:r w:rsidRPr="00254A72">
      <w:rPr>
        <w:smallCaps w:val="0"/>
        <w:sz w:val="28"/>
        <w:szCs w:val="28"/>
      </w:rPr>
      <w:fldChar w:fldCharType="end"/>
    </w:r>
    <w:r w:rsidRPr="00254A72">
      <w:rPr>
        <w:smallCaps w:val="0"/>
        <w:sz w:val="28"/>
        <w:szCs w:val="28"/>
      </w:rPr>
      <w:t xml:space="preserve"> of 1</w:t>
    </w:r>
  </w:p>
  <w:p w14:paraId="4AB674D2" w14:textId="77777777" w:rsidR="00806799" w:rsidRPr="00254A72" w:rsidRDefault="00806799" w:rsidP="00806799"/>
  <w:p w14:paraId="54AC8C3B" w14:textId="77777777" w:rsidR="00806799" w:rsidRPr="00254A72" w:rsidRDefault="00806799" w:rsidP="00806799"/>
  <w:p w14:paraId="7A8C9B81" w14:textId="77777777" w:rsidR="003B28B5" w:rsidRDefault="003B28B5">
    <w:pPr>
      <w:jc w:val="right"/>
      <w:rPr>
        <w:b/>
        <w:smallCaps/>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2270"/>
    <w:rsid w:val="000903FD"/>
    <w:rsid w:val="000B4850"/>
    <w:rsid w:val="001C17D6"/>
    <w:rsid w:val="001C5525"/>
    <w:rsid w:val="001D32FA"/>
    <w:rsid w:val="001E3CB7"/>
    <w:rsid w:val="00254A72"/>
    <w:rsid w:val="002726A5"/>
    <w:rsid w:val="002B00B6"/>
    <w:rsid w:val="003327B7"/>
    <w:rsid w:val="0033416A"/>
    <w:rsid w:val="003509E6"/>
    <w:rsid w:val="003B28B5"/>
    <w:rsid w:val="003C0054"/>
    <w:rsid w:val="003C2343"/>
    <w:rsid w:val="003D22F4"/>
    <w:rsid w:val="003F2270"/>
    <w:rsid w:val="004075CB"/>
    <w:rsid w:val="00490153"/>
    <w:rsid w:val="005446C9"/>
    <w:rsid w:val="005A5875"/>
    <w:rsid w:val="005D328C"/>
    <w:rsid w:val="005D5872"/>
    <w:rsid w:val="005D5E95"/>
    <w:rsid w:val="005F32C5"/>
    <w:rsid w:val="006113ED"/>
    <w:rsid w:val="00624738"/>
    <w:rsid w:val="006F047E"/>
    <w:rsid w:val="0076005C"/>
    <w:rsid w:val="007B1B72"/>
    <w:rsid w:val="00806799"/>
    <w:rsid w:val="00867765"/>
    <w:rsid w:val="00884B92"/>
    <w:rsid w:val="00951B64"/>
    <w:rsid w:val="00A60B95"/>
    <w:rsid w:val="00A63881"/>
    <w:rsid w:val="00A671EC"/>
    <w:rsid w:val="00AF2EBB"/>
    <w:rsid w:val="00BE468B"/>
    <w:rsid w:val="00BF673B"/>
    <w:rsid w:val="00C536AE"/>
    <w:rsid w:val="00C601D1"/>
    <w:rsid w:val="00C94DC4"/>
    <w:rsid w:val="00D55C9E"/>
    <w:rsid w:val="00D957C5"/>
    <w:rsid w:val="00E52B85"/>
    <w:rsid w:val="00F15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10D86E8"/>
  <w15:chartTrackingRefBased/>
  <w15:docId w15:val="{D74AA23B-7603-45F3-91EF-81A7A220D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jc w:val="right"/>
      <w:outlineLvl w:val="0"/>
    </w:pPr>
    <w:rPr>
      <w:b/>
      <w:smallCaps/>
      <w:spacing w:val="-3"/>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sid w:val="00951B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E23E25D284F142A163E5CD38564DA2" ma:contentTypeVersion="4" ma:contentTypeDescription="Create a new document." ma:contentTypeScope="" ma:versionID="0d677ef22bdddb3c4a1e46cb29d21fdb">
  <xsd:schema xmlns:xsd="http://www.w3.org/2001/XMLSchema" xmlns:xs="http://www.w3.org/2001/XMLSchema" xmlns:p="http://schemas.microsoft.com/office/2006/metadata/properties" xmlns:ns2="9d3d86ca-53f8-49c5-b850-ccd6645ba326" xmlns:ns3="9ac755fc-8e2e-4ebc-a1f4-dd26db5cc499" targetNamespace="http://schemas.microsoft.com/office/2006/metadata/properties" ma:root="true" ma:fieldsID="903cb9fe102a4ac9b00e23267b05caa6" ns2:_="" ns3:_="">
    <xsd:import namespace="9d3d86ca-53f8-49c5-b850-ccd6645ba326"/>
    <xsd:import namespace="9ac755fc-8e2e-4ebc-a1f4-dd26db5cc4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d86ca-53f8-49c5-b850-ccd6645ba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c755fc-8e2e-4ebc-a1f4-dd26db5cc4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AE5F12-7A22-4FCF-ADA3-9DAAB783B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d86ca-53f8-49c5-b850-ccd6645ba326"/>
    <ds:schemaRef ds:uri="9ac755fc-8e2e-4ebc-a1f4-dd26db5cc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2AA885-50A5-441B-897E-6ECDF064DBE8}">
  <ds:schemaRefs>
    <ds:schemaRef ds:uri="http://schemas.microsoft.com/sharepoint/v3/contenttype/forms"/>
  </ds:schemaRefs>
</ds:datastoreItem>
</file>

<file path=customXml/itemProps3.xml><?xml version="1.0" encoding="utf-8"?>
<ds:datastoreItem xmlns:ds="http://schemas.openxmlformats.org/officeDocument/2006/customXml" ds:itemID="{6D3C7238-6D68-465D-9958-F1F343DF75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5</vt:lpstr>
    </vt:vector>
  </TitlesOfParts>
  <Company>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Valued Gateway Client</dc:creator>
  <cp:keywords/>
  <dc:description/>
  <cp:lastModifiedBy>Enrique Rodriguez</cp:lastModifiedBy>
  <cp:revision>2</cp:revision>
  <cp:lastPrinted>2007-02-05T14:37:00Z</cp:lastPrinted>
  <dcterms:created xsi:type="dcterms:W3CDTF">2022-10-28T13:45:00Z</dcterms:created>
  <dcterms:modified xsi:type="dcterms:W3CDTF">2022-10-28T13:45:00Z</dcterms:modified>
</cp:coreProperties>
</file>