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EBFA" w14:textId="77777777" w:rsidR="00B72E70" w:rsidRPr="00B72E70" w:rsidRDefault="004A6D77" w:rsidP="009D3702">
      <w:pPr>
        <w:widowControl/>
        <w:tabs>
          <w:tab w:val="left" w:pos="-720"/>
          <w:tab w:val="left" w:pos="0"/>
          <w:tab w:val="left" w:pos="1440"/>
        </w:tabs>
        <w:ind w:left="1440" w:hanging="1440"/>
        <w:jc w:val="both"/>
        <w:rPr>
          <w:b/>
          <w:bCs/>
          <w:sz w:val="28"/>
          <w:szCs w:val="28"/>
        </w:rPr>
      </w:pPr>
      <w:r>
        <w:rPr>
          <w:b/>
          <w:spacing w:val="-3"/>
          <w:sz w:val="28"/>
          <w:szCs w:val="28"/>
        </w:rPr>
        <w:t>5.11</w:t>
      </w:r>
      <w:r w:rsidR="00B72E70" w:rsidRPr="00B72E70">
        <w:rPr>
          <w:b/>
          <w:spacing w:val="-3"/>
          <w:sz w:val="28"/>
          <w:szCs w:val="28"/>
        </w:rPr>
        <w:tab/>
      </w:r>
      <w:r w:rsidR="00B72E70" w:rsidRPr="00B72E70">
        <w:rPr>
          <w:b/>
          <w:bCs/>
          <w:sz w:val="28"/>
          <w:szCs w:val="28"/>
        </w:rPr>
        <w:t xml:space="preserve">ASSUMPTION OF RISK – IN THE PRIMARY SENSE </w:t>
      </w:r>
    </w:p>
    <w:p w14:paraId="03CEA4A6" w14:textId="65368C23" w:rsidR="00B72E70" w:rsidRPr="00B72E70" w:rsidRDefault="00B72E70" w:rsidP="009D3702">
      <w:pPr>
        <w:widowControl/>
        <w:tabs>
          <w:tab w:val="left" w:pos="-720"/>
          <w:tab w:val="left" w:pos="0"/>
          <w:tab w:val="left" w:pos="1440"/>
        </w:tabs>
        <w:ind w:left="1440" w:hanging="144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ab/>
        <w:t xml:space="preserve">(Approved </w:t>
      </w:r>
      <w:r w:rsidR="009D3702">
        <w:rPr>
          <w:sz w:val="28"/>
          <w:szCs w:val="28"/>
        </w:rPr>
        <w:t>0</w:t>
      </w:r>
      <w:r w:rsidRPr="00B72E70">
        <w:rPr>
          <w:sz w:val="28"/>
          <w:szCs w:val="28"/>
        </w:rPr>
        <w:t>4/</w:t>
      </w:r>
      <w:r w:rsidR="009D3702">
        <w:rPr>
          <w:sz w:val="28"/>
          <w:szCs w:val="28"/>
        </w:rPr>
        <w:t>20</w:t>
      </w:r>
      <w:r w:rsidRPr="00B72E70">
        <w:rPr>
          <w:sz w:val="28"/>
          <w:szCs w:val="28"/>
        </w:rPr>
        <w:t>01</w:t>
      </w:r>
      <w:r w:rsidR="00213B1D">
        <w:rPr>
          <w:sz w:val="28"/>
          <w:szCs w:val="28"/>
        </w:rPr>
        <w:t xml:space="preserve">; Revised </w:t>
      </w:r>
      <w:r w:rsidR="00887299">
        <w:rPr>
          <w:sz w:val="28"/>
          <w:szCs w:val="28"/>
        </w:rPr>
        <w:t>11</w:t>
      </w:r>
      <w:r w:rsidR="00213B1D">
        <w:rPr>
          <w:sz w:val="28"/>
          <w:szCs w:val="28"/>
        </w:rPr>
        <w:t>/2023</w:t>
      </w:r>
      <w:r w:rsidRPr="00B72E70">
        <w:rPr>
          <w:sz w:val="28"/>
          <w:szCs w:val="28"/>
        </w:rPr>
        <w:t>)</w:t>
      </w:r>
    </w:p>
    <w:p w14:paraId="74746FA3" w14:textId="77777777" w:rsidR="00B72E70" w:rsidRDefault="00B72E70" w:rsidP="009D3702">
      <w:pPr>
        <w:widowControl/>
        <w:tabs>
          <w:tab w:val="left" w:pos="-720"/>
          <w:tab w:val="left" w:pos="0"/>
          <w:tab w:val="left" w:pos="1440"/>
        </w:tabs>
        <w:ind w:left="1440" w:hanging="1440"/>
        <w:jc w:val="both"/>
        <w:rPr>
          <w:sz w:val="28"/>
          <w:szCs w:val="28"/>
        </w:rPr>
      </w:pPr>
    </w:p>
    <w:p w14:paraId="5169ED13" w14:textId="77777777" w:rsidR="0049269C" w:rsidRPr="000E73F9" w:rsidRDefault="0049269C" w:rsidP="009D3702">
      <w:pPr>
        <w:widowControl/>
        <w:tabs>
          <w:tab w:val="left" w:pos="-720"/>
          <w:tab w:val="left" w:pos="0"/>
          <w:tab w:val="left" w:pos="1440"/>
        </w:tabs>
        <w:ind w:left="1440" w:hanging="1440"/>
        <w:jc w:val="both"/>
        <w:rPr>
          <w:sz w:val="28"/>
          <w:szCs w:val="28"/>
        </w:rPr>
      </w:pPr>
    </w:p>
    <w:p w14:paraId="31EBA418" w14:textId="77777777" w:rsidR="00B72E70" w:rsidRPr="00B72E70" w:rsidRDefault="00B72E70" w:rsidP="009D3702">
      <w:pPr>
        <w:widowControl/>
        <w:spacing w:line="480" w:lineRule="auto"/>
        <w:jc w:val="center"/>
        <w:rPr>
          <w:b/>
          <w:bCs/>
          <w:i/>
          <w:iCs/>
          <w:sz w:val="28"/>
          <w:szCs w:val="28"/>
        </w:rPr>
      </w:pPr>
      <w:r w:rsidRPr="00B72E70">
        <w:rPr>
          <w:b/>
          <w:bCs/>
          <w:i/>
          <w:iCs/>
          <w:sz w:val="28"/>
          <w:szCs w:val="28"/>
        </w:rPr>
        <w:t>NOTE TO JUDGE</w:t>
      </w:r>
    </w:p>
    <w:p w14:paraId="38030B81" w14:textId="77777777" w:rsidR="00B72E70" w:rsidRPr="00B72E70" w:rsidRDefault="00B72E70" w:rsidP="009D3702">
      <w:pPr>
        <w:widowControl/>
        <w:ind w:left="720" w:right="72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>The Committee notes, except in cases where there is a statutory foundation, the defense of assumption of the risk is not a valid defense in the normal negligence action.  The Committee has eliminated the pre-1984 Assumption of Risk Charge, since there is no viable defense to a negligence action remaining in our law for which such a charge would be required.</w:t>
      </w:r>
      <w:r w:rsidRPr="00B72E70">
        <w:rPr>
          <w:i/>
          <w:iCs/>
          <w:sz w:val="28"/>
          <w:szCs w:val="28"/>
        </w:rPr>
        <w:t xml:space="preserve">  See, McGrath v. American Cyanamid Co.</w:t>
      </w:r>
      <w:r w:rsidRPr="00B72E70">
        <w:rPr>
          <w:sz w:val="28"/>
          <w:szCs w:val="28"/>
        </w:rPr>
        <w:t xml:space="preserve">, 41 </w:t>
      </w:r>
      <w:r w:rsidRPr="00B72E70">
        <w:rPr>
          <w:i/>
          <w:iCs/>
          <w:sz w:val="28"/>
          <w:szCs w:val="28"/>
        </w:rPr>
        <w:t>N.J.</w:t>
      </w:r>
      <w:r w:rsidRPr="00B72E70">
        <w:rPr>
          <w:sz w:val="28"/>
          <w:szCs w:val="28"/>
        </w:rPr>
        <w:t xml:space="preserve"> 272 (1963), and </w:t>
      </w:r>
      <w:r w:rsidRPr="00B72E70">
        <w:rPr>
          <w:i/>
          <w:iCs/>
          <w:sz w:val="28"/>
          <w:szCs w:val="28"/>
        </w:rPr>
        <w:t>Meistrich v. Casino Arena Attractions, Inc.</w:t>
      </w:r>
      <w:r w:rsidRPr="00B72E70">
        <w:rPr>
          <w:sz w:val="28"/>
          <w:szCs w:val="28"/>
        </w:rPr>
        <w:t xml:space="preserve">, 31 </w:t>
      </w:r>
      <w:r w:rsidRPr="00B72E70">
        <w:rPr>
          <w:i/>
          <w:iCs/>
          <w:sz w:val="28"/>
          <w:szCs w:val="28"/>
        </w:rPr>
        <w:t xml:space="preserve">N.J. </w:t>
      </w:r>
      <w:r w:rsidRPr="00B72E70">
        <w:rPr>
          <w:sz w:val="28"/>
          <w:szCs w:val="28"/>
        </w:rPr>
        <w:t>44 (1959).</w:t>
      </w:r>
    </w:p>
    <w:p w14:paraId="67DD2515" w14:textId="77777777" w:rsidR="00B72E70" w:rsidRPr="00B72E70" w:rsidRDefault="00B72E70" w:rsidP="009D3702">
      <w:pPr>
        <w:widowControl/>
        <w:ind w:right="720"/>
        <w:jc w:val="both"/>
        <w:rPr>
          <w:sz w:val="28"/>
          <w:szCs w:val="28"/>
        </w:rPr>
      </w:pPr>
    </w:p>
    <w:p w14:paraId="29E492F0" w14:textId="77777777" w:rsidR="00B72E70" w:rsidRPr="00B72E70" w:rsidRDefault="00B72E70" w:rsidP="009D3702">
      <w:pPr>
        <w:widowControl/>
        <w:ind w:left="720" w:right="72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 xml:space="preserve">There are fact scenarios, however, in which the concept of risk assumption has been recognized by statute, and in such </w:t>
      </w:r>
      <w:proofErr w:type="gramStart"/>
      <w:r w:rsidRPr="00B72E70">
        <w:rPr>
          <w:sz w:val="28"/>
          <w:szCs w:val="28"/>
        </w:rPr>
        <w:t>cases</w:t>
      </w:r>
      <w:proofErr w:type="gramEnd"/>
      <w:r w:rsidRPr="00B72E70">
        <w:rPr>
          <w:sz w:val="28"/>
          <w:szCs w:val="28"/>
        </w:rPr>
        <w:t xml:space="preserve"> it would be the obligation of the court to instruct the jury as to the applicability of the statute in question.  Such examples include:</w:t>
      </w:r>
    </w:p>
    <w:p w14:paraId="40E5C1C7" w14:textId="77777777" w:rsidR="00B72E70" w:rsidRPr="00B72E70" w:rsidRDefault="00B72E70" w:rsidP="000E73F9">
      <w:pPr>
        <w:widowControl/>
        <w:ind w:right="720"/>
        <w:jc w:val="both"/>
        <w:rPr>
          <w:sz w:val="28"/>
          <w:szCs w:val="28"/>
        </w:rPr>
      </w:pPr>
    </w:p>
    <w:p w14:paraId="4947B8CC" w14:textId="3A688DCA" w:rsidR="00B72E70" w:rsidRPr="00B72E70" w:rsidRDefault="00B72E70" w:rsidP="009D3702">
      <w:pPr>
        <w:widowControl/>
        <w:ind w:left="720" w:right="720" w:firstLine="72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 xml:space="preserve">Skiing: </w:t>
      </w:r>
      <w:r w:rsidRPr="00B72E70">
        <w:rPr>
          <w:i/>
          <w:iCs/>
          <w:sz w:val="28"/>
          <w:szCs w:val="28"/>
        </w:rPr>
        <w:t>N.J.S.A.</w:t>
      </w:r>
      <w:r w:rsidRPr="00B72E70">
        <w:rPr>
          <w:sz w:val="28"/>
          <w:szCs w:val="28"/>
        </w:rPr>
        <w:t xml:space="preserve"> 5:13-1, </w:t>
      </w:r>
      <w:r w:rsidRPr="00B72E70">
        <w:rPr>
          <w:i/>
          <w:iCs/>
          <w:sz w:val="28"/>
          <w:szCs w:val="28"/>
        </w:rPr>
        <w:t>et seq.</w:t>
      </w:r>
    </w:p>
    <w:p w14:paraId="5F894B37" w14:textId="77777777" w:rsidR="00B72E70" w:rsidRPr="00B72E70" w:rsidRDefault="00B72E70" w:rsidP="009D3702">
      <w:pPr>
        <w:widowControl/>
        <w:ind w:left="720" w:right="720" w:firstLine="72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 xml:space="preserve">Roller Skating: </w:t>
      </w:r>
      <w:r w:rsidRPr="00B72E70">
        <w:rPr>
          <w:i/>
          <w:iCs/>
          <w:sz w:val="28"/>
          <w:szCs w:val="28"/>
        </w:rPr>
        <w:t>N.J.S.A.</w:t>
      </w:r>
      <w:r w:rsidRPr="00B72E70">
        <w:rPr>
          <w:sz w:val="28"/>
          <w:szCs w:val="28"/>
        </w:rPr>
        <w:t xml:space="preserve"> 5:14-1</w:t>
      </w:r>
      <w:r>
        <w:rPr>
          <w:sz w:val="28"/>
          <w:szCs w:val="28"/>
        </w:rPr>
        <w:t>,</w:t>
      </w:r>
      <w:r w:rsidRPr="00B72E70">
        <w:rPr>
          <w:sz w:val="28"/>
          <w:szCs w:val="28"/>
        </w:rPr>
        <w:t xml:space="preserve"> </w:t>
      </w:r>
      <w:r w:rsidRPr="00B72E70">
        <w:rPr>
          <w:i/>
          <w:iCs/>
          <w:sz w:val="28"/>
          <w:szCs w:val="28"/>
        </w:rPr>
        <w:t>et seq.</w:t>
      </w:r>
    </w:p>
    <w:p w14:paraId="31176668" w14:textId="77777777" w:rsidR="00B72E70" w:rsidRPr="00B72E70" w:rsidRDefault="00B72E70" w:rsidP="009D3702">
      <w:pPr>
        <w:widowControl/>
        <w:ind w:left="720" w:right="720" w:firstLine="72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 xml:space="preserve">Equestrian Activities: </w:t>
      </w:r>
      <w:r w:rsidRPr="00B72E70">
        <w:rPr>
          <w:i/>
          <w:iCs/>
          <w:sz w:val="28"/>
          <w:szCs w:val="28"/>
        </w:rPr>
        <w:t>N.J.S.A.</w:t>
      </w:r>
      <w:r w:rsidRPr="00B72E70">
        <w:rPr>
          <w:sz w:val="28"/>
          <w:szCs w:val="28"/>
        </w:rPr>
        <w:t xml:space="preserve"> 5:15-1</w:t>
      </w:r>
      <w:r>
        <w:rPr>
          <w:sz w:val="28"/>
          <w:szCs w:val="28"/>
        </w:rPr>
        <w:t>,</w:t>
      </w:r>
      <w:r w:rsidRPr="00B72E70">
        <w:rPr>
          <w:sz w:val="28"/>
          <w:szCs w:val="28"/>
        </w:rPr>
        <w:t xml:space="preserve"> </w:t>
      </w:r>
      <w:r w:rsidRPr="00B72E70">
        <w:rPr>
          <w:i/>
          <w:iCs/>
          <w:sz w:val="28"/>
          <w:szCs w:val="28"/>
        </w:rPr>
        <w:t>et seq.</w:t>
      </w:r>
    </w:p>
    <w:p w14:paraId="69C06D0F" w14:textId="77777777" w:rsidR="00B72E70" w:rsidRPr="00B72E70" w:rsidRDefault="00B72E70" w:rsidP="000E73F9">
      <w:pPr>
        <w:tabs>
          <w:tab w:val="left" w:pos="-720"/>
        </w:tabs>
        <w:ind w:right="720"/>
        <w:jc w:val="both"/>
        <w:rPr>
          <w:sz w:val="28"/>
          <w:szCs w:val="28"/>
        </w:rPr>
      </w:pPr>
    </w:p>
    <w:p w14:paraId="2F934CCA" w14:textId="7D9B40F4" w:rsidR="00FA7C58" w:rsidRPr="00FA7C58" w:rsidRDefault="00B72E70" w:rsidP="00FA7C58">
      <w:pPr>
        <w:tabs>
          <w:tab w:val="left" w:pos="-720"/>
        </w:tabs>
        <w:ind w:left="720" w:right="720"/>
        <w:jc w:val="both"/>
        <w:rPr>
          <w:sz w:val="28"/>
          <w:szCs w:val="28"/>
        </w:rPr>
      </w:pPr>
      <w:r w:rsidRPr="00B72E70">
        <w:rPr>
          <w:sz w:val="28"/>
          <w:szCs w:val="28"/>
        </w:rPr>
        <w:t xml:space="preserve">With regard to sports injuries in general, </w:t>
      </w:r>
      <w:smartTag w:uri="urn:schemas-microsoft-com:office:smarttags" w:element="State">
        <w:smartTag w:uri="urn:schemas-microsoft-com:office:smarttags" w:element="place">
          <w:r w:rsidRPr="00B72E70">
            <w:rPr>
              <w:sz w:val="28"/>
              <w:szCs w:val="28"/>
            </w:rPr>
            <w:t>New Jersey</w:t>
          </w:r>
        </w:smartTag>
      </w:smartTag>
      <w:r w:rsidRPr="00B72E70">
        <w:rPr>
          <w:sz w:val="28"/>
          <w:szCs w:val="28"/>
        </w:rPr>
        <w:t xml:space="preserve"> has adopted a recklessness standard of care in determining the duty that a recreational player owes to another.  </w:t>
      </w:r>
      <w:r w:rsidRPr="00B72E70">
        <w:rPr>
          <w:i/>
          <w:iCs/>
          <w:sz w:val="28"/>
          <w:szCs w:val="28"/>
        </w:rPr>
        <w:t>Schick v. Ferolito</w:t>
      </w:r>
      <w:r w:rsidRPr="00B72E70">
        <w:rPr>
          <w:sz w:val="28"/>
          <w:szCs w:val="28"/>
        </w:rPr>
        <w:t xml:space="preserve">, 167 </w:t>
      </w:r>
      <w:r w:rsidRPr="00B72E70">
        <w:rPr>
          <w:i/>
          <w:iCs/>
          <w:sz w:val="28"/>
          <w:szCs w:val="28"/>
        </w:rPr>
        <w:t>N.J.</w:t>
      </w:r>
      <w:r w:rsidRPr="00B72E70">
        <w:rPr>
          <w:sz w:val="28"/>
          <w:szCs w:val="28"/>
        </w:rPr>
        <w:t xml:space="preserve"> 7 </w:t>
      </w:r>
      <w:r w:rsidRPr="007E2978">
        <w:rPr>
          <w:sz w:val="28"/>
          <w:szCs w:val="28"/>
        </w:rPr>
        <w:t xml:space="preserve">(2001) (golf); </w:t>
      </w:r>
      <w:r w:rsidRPr="007E2978">
        <w:rPr>
          <w:i/>
          <w:iCs/>
          <w:sz w:val="28"/>
          <w:szCs w:val="28"/>
        </w:rPr>
        <w:t>Crawn v. Campo</w:t>
      </w:r>
      <w:r w:rsidRPr="007E2978">
        <w:rPr>
          <w:sz w:val="28"/>
          <w:szCs w:val="28"/>
        </w:rPr>
        <w:t xml:space="preserve">, 136 </w:t>
      </w:r>
      <w:r w:rsidRPr="007E2978">
        <w:rPr>
          <w:i/>
          <w:iCs/>
          <w:sz w:val="28"/>
          <w:szCs w:val="28"/>
        </w:rPr>
        <w:t>N.J.</w:t>
      </w:r>
      <w:r w:rsidRPr="007E2978">
        <w:rPr>
          <w:sz w:val="28"/>
          <w:szCs w:val="28"/>
        </w:rPr>
        <w:t xml:space="preserve"> </w:t>
      </w:r>
      <w:r w:rsidR="009D3702" w:rsidRPr="007E2978">
        <w:rPr>
          <w:sz w:val="28"/>
          <w:szCs w:val="28"/>
        </w:rPr>
        <w:t>4</w:t>
      </w:r>
      <w:r w:rsidRPr="007E2978">
        <w:rPr>
          <w:sz w:val="28"/>
          <w:szCs w:val="28"/>
        </w:rPr>
        <w:t>94 (1994) (softball).</w:t>
      </w:r>
      <w:r w:rsidR="00FA7C58" w:rsidRPr="007E2978">
        <w:rPr>
          <w:sz w:val="28"/>
          <w:szCs w:val="28"/>
        </w:rPr>
        <w:t xml:space="preserve"> A negligence standard of care applies as to non-participants injured by a participant/coach involved in the athletic endeavor. </w:t>
      </w:r>
      <w:r w:rsidR="005E3837" w:rsidRPr="007E2978">
        <w:rPr>
          <w:sz w:val="28"/>
          <w:szCs w:val="28"/>
        </w:rPr>
        <w:t xml:space="preserve"> </w:t>
      </w:r>
      <w:r w:rsidR="00FA7C58" w:rsidRPr="007E2978">
        <w:rPr>
          <w:i/>
          <w:iCs/>
          <w:sz w:val="28"/>
          <w:szCs w:val="28"/>
        </w:rPr>
        <w:t>Dennehy v. Windsor Regional Bd. of Ed.</w:t>
      </w:r>
      <w:r w:rsidR="00FA7C58" w:rsidRPr="007E2978">
        <w:rPr>
          <w:sz w:val="28"/>
          <w:szCs w:val="28"/>
        </w:rPr>
        <w:t xml:space="preserve">, 252 </w:t>
      </w:r>
      <w:r w:rsidR="00FA7C58" w:rsidRPr="00297051">
        <w:rPr>
          <w:i/>
          <w:iCs/>
          <w:sz w:val="28"/>
          <w:szCs w:val="28"/>
        </w:rPr>
        <w:t>N.J.</w:t>
      </w:r>
      <w:r w:rsidR="00FA7C58" w:rsidRPr="007E2978">
        <w:rPr>
          <w:sz w:val="28"/>
          <w:szCs w:val="28"/>
        </w:rPr>
        <w:t xml:space="preserve"> 201 (20</w:t>
      </w:r>
      <w:r w:rsidR="0039283E" w:rsidRPr="007E2978">
        <w:rPr>
          <w:sz w:val="28"/>
          <w:szCs w:val="28"/>
        </w:rPr>
        <w:t>22</w:t>
      </w:r>
      <w:r w:rsidR="00FA7C58" w:rsidRPr="007E2978">
        <w:rPr>
          <w:sz w:val="28"/>
          <w:szCs w:val="28"/>
        </w:rPr>
        <w:t>).</w:t>
      </w:r>
    </w:p>
    <w:p w14:paraId="1C8D27E1" w14:textId="77777777" w:rsidR="003D3E0B" w:rsidRPr="00B72E70" w:rsidRDefault="003D3E0B" w:rsidP="009D3702">
      <w:pPr>
        <w:rPr>
          <w:sz w:val="28"/>
          <w:szCs w:val="28"/>
        </w:rPr>
      </w:pPr>
    </w:p>
    <w:sectPr w:rsidR="003D3E0B" w:rsidRPr="00B72E70">
      <w:headerReference w:type="default" r:id="rId8"/>
      <w:footerReference w:type="even" r:id="rId9"/>
      <w:endnotePr>
        <w:numFmt w:val="decimal"/>
      </w:endnotePr>
      <w:type w:val="continuous"/>
      <w:pgSz w:w="12240" w:h="15840" w:code="1"/>
      <w:pgMar w:top="1008" w:right="1440" w:bottom="1440" w:left="1440" w:header="1440" w:footer="1440" w:gutter="28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1839" w14:textId="77777777" w:rsidR="00C5712B" w:rsidRDefault="00C5712B">
      <w:r>
        <w:separator/>
      </w:r>
    </w:p>
  </w:endnote>
  <w:endnote w:type="continuationSeparator" w:id="0">
    <w:p w14:paraId="38493CFC" w14:textId="77777777" w:rsidR="00C5712B" w:rsidRDefault="00C5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ADCB5" w14:textId="77777777" w:rsidR="000F2CEB" w:rsidRDefault="000F2CEB">
    <w:pPr>
      <w:pStyle w:val="Footer"/>
      <w:rPr>
        <w:b/>
        <w:bCs/>
        <w:sz w:val="22"/>
      </w:rPr>
    </w:pPr>
    <w:r>
      <w:rPr>
        <w:b/>
        <w:bCs/>
        <w:sz w:val="22"/>
      </w:rPr>
      <w:t>4.22-</w:t>
    </w:r>
    <w:r>
      <w:rPr>
        <w:rStyle w:val="PageNumber"/>
        <w:b/>
        <w:bCs/>
        <w:sz w:val="22"/>
      </w:rPr>
      <w:fldChar w:fldCharType="begin"/>
    </w:r>
    <w:r>
      <w:rPr>
        <w:rStyle w:val="PageNumber"/>
        <w:b/>
        <w:bCs/>
        <w:sz w:val="22"/>
      </w:rPr>
      <w:instrText xml:space="preserve"> PAGE </w:instrText>
    </w:r>
    <w:r>
      <w:rPr>
        <w:rStyle w:val="PageNumber"/>
        <w:b/>
        <w:bCs/>
        <w:sz w:val="22"/>
      </w:rPr>
      <w:fldChar w:fldCharType="separate"/>
    </w:r>
    <w:r>
      <w:rPr>
        <w:rStyle w:val="PageNumber"/>
        <w:b/>
        <w:bCs/>
        <w:noProof/>
        <w:sz w:val="22"/>
      </w:rPr>
      <w:t>4</w:t>
    </w:r>
    <w:r>
      <w:rPr>
        <w:rStyle w:val="PageNumber"/>
        <w:b/>
        <w:bCs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AAE4" w14:textId="77777777" w:rsidR="00C5712B" w:rsidRDefault="00C5712B">
      <w:r>
        <w:separator/>
      </w:r>
    </w:p>
  </w:footnote>
  <w:footnote w:type="continuationSeparator" w:id="0">
    <w:p w14:paraId="619B4307" w14:textId="77777777" w:rsidR="00C5712B" w:rsidRDefault="00C5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E587" w14:textId="77777777" w:rsidR="000F2CEB" w:rsidRDefault="000F2CEB">
    <w:pPr>
      <w:pStyle w:val="Header"/>
      <w:jc w:val="right"/>
      <w:rPr>
        <w:rFonts w:ascii="Times New Roman Bold" w:hAnsi="Times New Roman Bold"/>
        <w:b/>
        <w:bCs/>
        <w:sz w:val="28"/>
        <w:szCs w:val="28"/>
      </w:rPr>
    </w:pPr>
    <w:r w:rsidRPr="00904ABA">
      <w:rPr>
        <w:rFonts w:ascii="Times New Roman Bold" w:hAnsi="Times New Roman Bold"/>
        <w:b/>
        <w:bCs/>
        <w:sz w:val="28"/>
        <w:szCs w:val="28"/>
      </w:rPr>
      <w:t>C</w:t>
    </w:r>
    <w:r w:rsidR="004A6D77">
      <w:rPr>
        <w:rFonts w:ascii="Times New Roman Bold" w:hAnsi="Times New Roman Bold"/>
        <w:b/>
        <w:bCs/>
        <w:sz w:val="28"/>
        <w:szCs w:val="28"/>
      </w:rPr>
      <w:t>HARGE 5.11</w:t>
    </w:r>
    <w:r w:rsidRPr="00904ABA">
      <w:rPr>
        <w:rFonts w:ascii="Times New Roman Bold" w:hAnsi="Times New Roman Bold"/>
        <w:b/>
        <w:bCs/>
        <w:sz w:val="28"/>
        <w:szCs w:val="28"/>
      </w:rPr>
      <w:t xml:space="preserve"> — Page </w:t>
    </w:r>
    <w:r w:rsidRPr="00904ABA">
      <w:rPr>
        <w:rFonts w:ascii="Times New Roman Bold" w:hAnsi="Times New Roman Bold"/>
        <w:b/>
        <w:bCs/>
        <w:sz w:val="28"/>
        <w:szCs w:val="28"/>
      </w:rPr>
      <w:fldChar w:fldCharType="begin"/>
    </w:r>
    <w:r w:rsidRPr="00904ABA">
      <w:rPr>
        <w:rFonts w:ascii="Times New Roman Bold" w:hAnsi="Times New Roman Bold"/>
        <w:b/>
        <w:bCs/>
        <w:sz w:val="28"/>
        <w:szCs w:val="28"/>
      </w:rPr>
      <w:instrText xml:space="preserve"> PAGE </w:instrText>
    </w:r>
    <w:r w:rsidRPr="00904ABA">
      <w:rPr>
        <w:rFonts w:ascii="Times New Roman Bold" w:hAnsi="Times New Roman Bold"/>
        <w:b/>
        <w:bCs/>
        <w:sz w:val="28"/>
        <w:szCs w:val="28"/>
      </w:rPr>
      <w:fldChar w:fldCharType="separate"/>
    </w:r>
    <w:r w:rsidR="009D3702">
      <w:rPr>
        <w:rFonts w:ascii="Times New Roman Bold" w:hAnsi="Times New Roman Bold"/>
        <w:b/>
        <w:bCs/>
        <w:noProof/>
        <w:sz w:val="28"/>
        <w:szCs w:val="28"/>
      </w:rPr>
      <w:t>1</w:t>
    </w:r>
    <w:r w:rsidRPr="00904ABA">
      <w:rPr>
        <w:rFonts w:ascii="Times New Roman Bold" w:hAnsi="Times New Roman Bold"/>
        <w:b/>
        <w:bCs/>
        <w:sz w:val="28"/>
        <w:szCs w:val="28"/>
      </w:rPr>
      <w:fldChar w:fldCharType="end"/>
    </w:r>
    <w:r w:rsidRPr="00904ABA">
      <w:rPr>
        <w:rFonts w:ascii="Times New Roman Bold" w:hAnsi="Times New Roman Bold"/>
        <w:b/>
        <w:bCs/>
        <w:sz w:val="28"/>
        <w:szCs w:val="28"/>
      </w:rPr>
      <w:t xml:space="preserve"> of </w:t>
    </w:r>
    <w:r w:rsidRPr="00904ABA">
      <w:rPr>
        <w:rFonts w:ascii="Times New Roman Bold" w:hAnsi="Times New Roman Bold"/>
        <w:b/>
        <w:bCs/>
        <w:sz w:val="28"/>
        <w:szCs w:val="28"/>
      </w:rPr>
      <w:fldChar w:fldCharType="begin"/>
    </w:r>
    <w:r w:rsidRPr="00904ABA">
      <w:rPr>
        <w:rFonts w:ascii="Times New Roman Bold" w:hAnsi="Times New Roman Bold"/>
        <w:b/>
        <w:bCs/>
        <w:sz w:val="28"/>
        <w:szCs w:val="28"/>
      </w:rPr>
      <w:instrText xml:space="preserve"> NUMPAGES </w:instrText>
    </w:r>
    <w:r w:rsidRPr="00904ABA">
      <w:rPr>
        <w:rFonts w:ascii="Times New Roman Bold" w:hAnsi="Times New Roman Bold"/>
        <w:b/>
        <w:bCs/>
        <w:sz w:val="28"/>
        <w:szCs w:val="28"/>
      </w:rPr>
      <w:fldChar w:fldCharType="separate"/>
    </w:r>
    <w:r w:rsidR="009D3702">
      <w:rPr>
        <w:rFonts w:ascii="Times New Roman Bold" w:hAnsi="Times New Roman Bold"/>
        <w:b/>
        <w:bCs/>
        <w:noProof/>
        <w:sz w:val="28"/>
        <w:szCs w:val="28"/>
      </w:rPr>
      <w:t>1</w:t>
    </w:r>
    <w:r w:rsidRPr="00904ABA">
      <w:rPr>
        <w:rFonts w:ascii="Times New Roman Bold" w:hAnsi="Times New Roman Bold"/>
        <w:b/>
        <w:bCs/>
        <w:sz w:val="28"/>
        <w:szCs w:val="28"/>
      </w:rPr>
      <w:fldChar w:fldCharType="end"/>
    </w:r>
  </w:p>
  <w:p w14:paraId="601022AA" w14:textId="77777777" w:rsidR="009D3702" w:rsidRDefault="009D3702">
    <w:pPr>
      <w:pStyle w:val="Header"/>
      <w:jc w:val="right"/>
      <w:rPr>
        <w:b/>
        <w:bCs/>
        <w:smallCaps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0618E"/>
    <w:multiLevelType w:val="hybridMultilevel"/>
    <w:tmpl w:val="104C7480"/>
    <w:lvl w:ilvl="0" w:tplc="FB1AD80E">
      <w:start w:val="2"/>
      <w:numFmt w:val="upperLetter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" w15:restartNumberingAfterBreak="0">
    <w:nsid w:val="2CB37D21"/>
    <w:multiLevelType w:val="hybridMultilevel"/>
    <w:tmpl w:val="6BA28D4C"/>
    <w:lvl w:ilvl="0" w:tplc="BD608A3A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7B7616D"/>
    <w:multiLevelType w:val="hybridMultilevel"/>
    <w:tmpl w:val="B232D122"/>
    <w:lvl w:ilvl="0" w:tplc="60249BB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9916774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16866504">
    <w:abstractNumId w:val="1"/>
  </w:num>
  <w:num w:numId="3" w16cid:durableId="107242510">
    <w:abstractNumId w:val="3"/>
  </w:num>
  <w:num w:numId="4" w16cid:durableId="43918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BA"/>
    <w:rsid w:val="000E73F9"/>
    <w:rsid w:val="000F2CEB"/>
    <w:rsid w:val="00133897"/>
    <w:rsid w:val="001A0750"/>
    <w:rsid w:val="00213B1D"/>
    <w:rsid w:val="00253165"/>
    <w:rsid w:val="00297051"/>
    <w:rsid w:val="0039283E"/>
    <w:rsid w:val="003D3E0B"/>
    <w:rsid w:val="0049269C"/>
    <w:rsid w:val="004A6D77"/>
    <w:rsid w:val="00590D01"/>
    <w:rsid w:val="005B3F22"/>
    <w:rsid w:val="005E3837"/>
    <w:rsid w:val="0069764A"/>
    <w:rsid w:val="006F7E7B"/>
    <w:rsid w:val="00702EAC"/>
    <w:rsid w:val="007E2978"/>
    <w:rsid w:val="00887299"/>
    <w:rsid w:val="00904ABA"/>
    <w:rsid w:val="0093321A"/>
    <w:rsid w:val="009724DA"/>
    <w:rsid w:val="009D3702"/>
    <w:rsid w:val="00AB1364"/>
    <w:rsid w:val="00B0575D"/>
    <w:rsid w:val="00B20380"/>
    <w:rsid w:val="00B54C61"/>
    <w:rsid w:val="00B72E70"/>
    <w:rsid w:val="00C5712B"/>
    <w:rsid w:val="00C61A17"/>
    <w:rsid w:val="00C72BEC"/>
    <w:rsid w:val="00CA7F00"/>
    <w:rsid w:val="00CF6FBD"/>
    <w:rsid w:val="00D64E99"/>
    <w:rsid w:val="00D9387C"/>
    <w:rsid w:val="00E54DD8"/>
    <w:rsid w:val="00F879C9"/>
    <w:rsid w:val="00FA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482B2B9"/>
  <w15:chartTrackingRefBased/>
  <w15:docId w15:val="{FC645510-C94F-4E00-9116-67514878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1530" w:hanging="630"/>
      <w:outlineLvl w:val="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BodyTextIndent">
    <w:name w:val="Body Text Indent"/>
    <w:basedOn w:val="Normal"/>
    <w:pPr>
      <w:widowControl/>
      <w:tabs>
        <w:tab w:val="left" w:pos="720"/>
        <w:tab w:val="left" w:pos="1440"/>
        <w:tab w:val="left" w:pos="2160"/>
      </w:tabs>
      <w:spacing w:after="180" w:line="480" w:lineRule="auto"/>
      <w:ind w:firstLine="720"/>
      <w:jc w:val="both"/>
    </w:pPr>
    <w:rPr>
      <w:sz w:val="24"/>
    </w:rPr>
  </w:style>
  <w:style w:type="paragraph" w:styleId="BodyTextIndent2">
    <w:name w:val="Body Text Indent 2"/>
    <w:basedOn w:val="Normal"/>
    <w:pPr>
      <w:widowControl/>
      <w:tabs>
        <w:tab w:val="left" w:pos="720"/>
        <w:tab w:val="left" w:pos="1440"/>
        <w:tab w:val="left" w:pos="2160"/>
      </w:tabs>
      <w:spacing w:after="180"/>
      <w:ind w:left="1530" w:hanging="720"/>
      <w:jc w:val="both"/>
    </w:pPr>
    <w:rPr>
      <w:sz w:val="28"/>
    </w:rPr>
  </w:style>
  <w:style w:type="paragraph" w:styleId="BodyTextIndent3">
    <w:name w:val="Body Text Indent 3"/>
    <w:basedOn w:val="Normal"/>
    <w:pPr>
      <w:widowControl/>
      <w:tabs>
        <w:tab w:val="left" w:pos="720"/>
        <w:tab w:val="left" w:pos="1440"/>
        <w:tab w:val="left" w:pos="2160"/>
      </w:tabs>
      <w:spacing w:after="180"/>
      <w:ind w:left="1440" w:hanging="720"/>
      <w:jc w:val="both"/>
    </w:pPr>
    <w:rPr>
      <w:sz w:val="28"/>
    </w:rPr>
  </w:style>
  <w:style w:type="paragraph" w:styleId="BalloonText">
    <w:name w:val="Balloon Text"/>
    <w:basedOn w:val="Normal"/>
    <w:semiHidden/>
    <w:rsid w:val="00904AB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A7C5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D799-02C2-4850-96FF-FADD5E31F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New Jersey ICLE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Valued Gateway Client</dc:creator>
  <cp:keywords/>
  <dc:description/>
  <cp:lastModifiedBy>Kristi Robinson</cp:lastModifiedBy>
  <cp:revision>45</cp:revision>
  <cp:lastPrinted>2023-03-16T20:44:00Z</cp:lastPrinted>
  <dcterms:created xsi:type="dcterms:W3CDTF">2023-03-16T20:45:00Z</dcterms:created>
  <dcterms:modified xsi:type="dcterms:W3CDTF">2023-11-14T19:43:00Z</dcterms:modified>
</cp:coreProperties>
</file>