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E2C" w:rsidRPr="00936B66" w:rsidRDefault="0097785B" w:rsidP="00936B66">
      <w:pPr>
        <w:autoSpaceDE w:val="0"/>
        <w:autoSpaceDN w:val="0"/>
        <w:ind w:left="1440" w:hanging="1440"/>
        <w:rPr>
          <w:sz w:val="28"/>
          <w:szCs w:val="28"/>
        </w:rPr>
      </w:pPr>
      <w:r w:rsidRPr="00936B66">
        <w:rPr>
          <w:b/>
          <w:bCs/>
          <w:sz w:val="28"/>
          <w:szCs w:val="28"/>
        </w:rPr>
        <w:t>5.33</w:t>
      </w:r>
      <w:r w:rsidR="007B403E" w:rsidRPr="00936B66">
        <w:rPr>
          <w:b/>
          <w:bCs/>
          <w:sz w:val="28"/>
          <w:szCs w:val="28"/>
        </w:rPr>
        <w:tab/>
      </w:r>
      <w:r w:rsidR="00CF0E2C" w:rsidRPr="00936B66">
        <w:rPr>
          <w:b/>
          <w:bCs/>
          <w:sz w:val="28"/>
          <w:szCs w:val="28"/>
        </w:rPr>
        <w:t xml:space="preserve">LIMITATION ON LAWSUIT </w:t>
      </w:r>
      <w:proofErr w:type="gramStart"/>
      <w:r w:rsidR="00CF0E2C" w:rsidRPr="00936B66">
        <w:rPr>
          <w:b/>
          <w:bCs/>
          <w:sz w:val="28"/>
          <w:szCs w:val="28"/>
        </w:rPr>
        <w:t>OPTION</w:t>
      </w:r>
      <w:r w:rsidR="00CF0E2C" w:rsidRPr="00936B66">
        <w:rPr>
          <w:sz w:val="28"/>
          <w:szCs w:val="28"/>
        </w:rPr>
        <w:t xml:space="preserve"> </w:t>
      </w:r>
      <w:bookmarkStart w:id="0" w:name="_ftnref1"/>
      <w:proofErr w:type="gramEnd"/>
      <w:r w:rsidR="00CF0E2C" w:rsidRPr="00936B66">
        <w:rPr>
          <w:rStyle w:val="FootnoteReference"/>
          <w:sz w:val="28"/>
          <w:szCs w:val="28"/>
        </w:rPr>
        <w:footnoteReference w:id="1"/>
      </w:r>
      <w:bookmarkEnd w:id="0"/>
      <w:r w:rsidR="00EE3F59" w:rsidRPr="00EE3F59">
        <w:rPr>
          <w:sz w:val="28"/>
          <w:szCs w:val="28"/>
          <w:vertAlign w:val="superscript"/>
        </w:rPr>
        <w:t>,</w:t>
      </w:r>
      <w:r w:rsidR="00EE3F59">
        <w:rPr>
          <w:rStyle w:val="FootnoteReference"/>
          <w:sz w:val="28"/>
          <w:szCs w:val="28"/>
        </w:rPr>
        <w:footnoteReference w:id="2"/>
      </w:r>
      <w:r w:rsidR="007B403E" w:rsidRPr="00936B66">
        <w:rPr>
          <w:sz w:val="28"/>
          <w:szCs w:val="28"/>
        </w:rPr>
        <w:t xml:space="preserve"> </w:t>
      </w:r>
      <w:r w:rsidR="00980397" w:rsidRPr="00936B66">
        <w:rPr>
          <w:sz w:val="28"/>
          <w:szCs w:val="28"/>
        </w:rPr>
        <w:t>(</w:t>
      </w:r>
      <w:r w:rsidR="00C847F1" w:rsidRPr="00936B66">
        <w:rPr>
          <w:sz w:val="28"/>
          <w:szCs w:val="28"/>
        </w:rPr>
        <w:t>Approved</w:t>
      </w:r>
      <w:r w:rsidR="00936B66">
        <w:rPr>
          <w:sz w:val="28"/>
          <w:szCs w:val="28"/>
        </w:rPr>
        <w:t xml:space="preserve"> </w:t>
      </w:r>
      <w:r w:rsidR="00EB43EC">
        <w:rPr>
          <w:sz w:val="28"/>
          <w:szCs w:val="28"/>
        </w:rPr>
        <w:t>11/2000</w:t>
      </w:r>
      <w:r w:rsidR="00C847F1" w:rsidRPr="00936B66">
        <w:rPr>
          <w:sz w:val="28"/>
          <w:szCs w:val="28"/>
        </w:rPr>
        <w:t>;</w:t>
      </w:r>
      <w:r w:rsidR="00936B66" w:rsidRPr="00936B66">
        <w:rPr>
          <w:sz w:val="28"/>
          <w:szCs w:val="28"/>
        </w:rPr>
        <w:t xml:space="preserve"> </w:t>
      </w:r>
      <w:r w:rsidR="00C847F1" w:rsidRPr="00936B66">
        <w:rPr>
          <w:sz w:val="28"/>
          <w:szCs w:val="28"/>
        </w:rPr>
        <w:t xml:space="preserve">Revised </w:t>
      </w:r>
      <w:r w:rsidR="00AA4802" w:rsidRPr="00936B66">
        <w:rPr>
          <w:sz w:val="28"/>
          <w:szCs w:val="28"/>
        </w:rPr>
        <w:t>0</w:t>
      </w:r>
      <w:r w:rsidR="002870FA">
        <w:rPr>
          <w:sz w:val="28"/>
          <w:szCs w:val="28"/>
        </w:rPr>
        <w:t>4</w:t>
      </w:r>
      <w:r w:rsidR="002B473D" w:rsidRPr="00936B66">
        <w:rPr>
          <w:sz w:val="28"/>
          <w:szCs w:val="28"/>
        </w:rPr>
        <w:t>/</w:t>
      </w:r>
      <w:r w:rsidR="00C847F1" w:rsidRPr="00936B66">
        <w:rPr>
          <w:sz w:val="28"/>
          <w:szCs w:val="28"/>
        </w:rPr>
        <w:t>20</w:t>
      </w:r>
      <w:r w:rsidR="002B473D" w:rsidRPr="00936B66">
        <w:rPr>
          <w:sz w:val="28"/>
          <w:szCs w:val="28"/>
        </w:rPr>
        <w:t>1</w:t>
      </w:r>
      <w:r w:rsidR="00220525">
        <w:rPr>
          <w:sz w:val="28"/>
          <w:szCs w:val="28"/>
        </w:rPr>
        <w:t>8</w:t>
      </w:r>
      <w:r w:rsidR="00CF0E2C" w:rsidRPr="00936B66">
        <w:rPr>
          <w:sz w:val="28"/>
          <w:szCs w:val="28"/>
        </w:rPr>
        <w:t>)</w:t>
      </w:r>
    </w:p>
    <w:p w:rsidR="00C847F1" w:rsidRPr="00AA4802" w:rsidRDefault="00C847F1" w:rsidP="00EE3F59">
      <w:pPr>
        <w:autoSpaceDE w:val="0"/>
        <w:autoSpaceDN w:val="0"/>
        <w:ind w:left="1440" w:hanging="1440"/>
        <w:jc w:val="both"/>
        <w:rPr>
          <w:color w:val="FF0000"/>
          <w:sz w:val="28"/>
          <w:szCs w:val="28"/>
        </w:rPr>
      </w:pPr>
    </w:p>
    <w:p w:rsidR="00C847F1" w:rsidRDefault="00C847F1" w:rsidP="00EE3F59">
      <w:pPr>
        <w:autoSpaceDE w:val="0"/>
        <w:autoSpaceDN w:val="0"/>
        <w:ind w:left="1440" w:hanging="1440"/>
        <w:jc w:val="both"/>
        <w:rPr>
          <w:sz w:val="28"/>
          <w:szCs w:val="28"/>
        </w:rPr>
      </w:pPr>
    </w:p>
    <w:p w:rsidR="00CF0E2C" w:rsidRDefault="007B403E">
      <w:pPr>
        <w:autoSpaceDE w:val="0"/>
        <w:autoSpaceDN w:val="0"/>
        <w:spacing w:line="480" w:lineRule="auto"/>
        <w:ind w:firstLine="720"/>
        <w:jc w:val="both"/>
        <w:rPr>
          <w:sz w:val="28"/>
          <w:szCs w:val="28"/>
        </w:rPr>
      </w:pPr>
      <w:r>
        <w:rPr>
          <w:b/>
          <w:bCs/>
          <w:sz w:val="28"/>
          <w:szCs w:val="28"/>
        </w:rPr>
        <w:t>A.</w:t>
      </w:r>
      <w:r>
        <w:rPr>
          <w:b/>
          <w:bCs/>
          <w:sz w:val="28"/>
          <w:szCs w:val="28"/>
        </w:rPr>
        <w:tab/>
      </w:r>
      <w:r w:rsidR="00CF0E2C">
        <w:rPr>
          <w:b/>
          <w:bCs/>
          <w:sz w:val="28"/>
          <w:szCs w:val="28"/>
        </w:rPr>
        <w:t>Introduction</w:t>
      </w:r>
      <w:r w:rsidR="00CF0E2C">
        <w:rPr>
          <w:sz w:val="28"/>
          <w:szCs w:val="28"/>
        </w:rPr>
        <w:t xml:space="preserve"> </w:t>
      </w:r>
    </w:p>
    <w:p w:rsidR="00CF0E2C" w:rsidRDefault="00E1480C" w:rsidP="00A81293">
      <w:pPr>
        <w:autoSpaceDE w:val="0"/>
        <w:autoSpaceDN w:val="0"/>
        <w:spacing w:line="480" w:lineRule="auto"/>
        <w:ind w:firstLine="720"/>
        <w:jc w:val="both"/>
        <w:rPr>
          <w:sz w:val="28"/>
          <w:szCs w:val="28"/>
        </w:rPr>
      </w:pPr>
      <w:r>
        <w:rPr>
          <w:sz w:val="28"/>
          <w:szCs w:val="28"/>
        </w:rPr>
        <w:t>I</w:t>
      </w:r>
      <w:r w:rsidR="00CF0E2C">
        <w:rPr>
          <w:sz w:val="28"/>
          <w:szCs w:val="28"/>
        </w:rPr>
        <w:t xml:space="preserve">n order to recover damages in this case, plaintiff must prove by a preponderance of the evidence that </w:t>
      </w:r>
      <w:r w:rsidR="00EB43EC">
        <w:rPr>
          <w:sz w:val="28"/>
          <w:szCs w:val="28"/>
        </w:rPr>
        <w:t xml:space="preserve">he/she </w:t>
      </w:r>
      <w:r w:rsidR="00CF0E2C">
        <w:rPr>
          <w:sz w:val="28"/>
          <w:szCs w:val="28"/>
        </w:rPr>
        <w:t>sustained injuries which fit into one or more of the following categories:</w:t>
      </w:r>
    </w:p>
    <w:p w:rsidR="00CF0E2C" w:rsidRDefault="00CF0E2C">
      <w:pPr>
        <w:autoSpaceDE w:val="0"/>
        <w:autoSpaceDN w:val="0"/>
        <w:ind w:left="720" w:right="720"/>
        <w:jc w:val="center"/>
        <w:rPr>
          <w:sz w:val="28"/>
          <w:szCs w:val="28"/>
        </w:rPr>
      </w:pPr>
      <w:r>
        <w:rPr>
          <w:b/>
          <w:bCs/>
          <w:i/>
          <w:iCs/>
          <w:sz w:val="28"/>
          <w:szCs w:val="28"/>
        </w:rPr>
        <w:t>N</w:t>
      </w:r>
      <w:r w:rsidR="00BA7448">
        <w:rPr>
          <w:b/>
          <w:bCs/>
          <w:i/>
          <w:iCs/>
          <w:sz w:val="28"/>
          <w:szCs w:val="28"/>
        </w:rPr>
        <w:t>OTE TO JUDGE</w:t>
      </w:r>
    </w:p>
    <w:p w:rsidR="00CF0E2C" w:rsidRDefault="00CF0E2C">
      <w:pPr>
        <w:autoSpaceDE w:val="0"/>
        <w:autoSpaceDN w:val="0"/>
        <w:ind w:left="720" w:right="720"/>
        <w:jc w:val="both"/>
        <w:rPr>
          <w:i/>
          <w:sz w:val="28"/>
          <w:szCs w:val="28"/>
        </w:rPr>
      </w:pPr>
    </w:p>
    <w:p w:rsidR="00BC4EE4" w:rsidRDefault="00CF0E2C">
      <w:pPr>
        <w:autoSpaceDE w:val="0"/>
        <w:autoSpaceDN w:val="0"/>
        <w:ind w:left="720" w:right="720"/>
        <w:jc w:val="both"/>
        <w:rPr>
          <w:sz w:val="28"/>
          <w:szCs w:val="28"/>
        </w:rPr>
      </w:pPr>
      <w:r>
        <w:rPr>
          <w:i/>
          <w:sz w:val="28"/>
          <w:szCs w:val="28"/>
        </w:rPr>
        <w:t>Charge 1, 2, 3, 4, 5, 6 or any combination of them, depending on the proofs in each case.</w:t>
      </w:r>
      <w:r w:rsidR="002B473D">
        <w:rPr>
          <w:i/>
          <w:sz w:val="28"/>
          <w:szCs w:val="28"/>
        </w:rPr>
        <w:t xml:space="preserve"> </w:t>
      </w:r>
      <w:r w:rsidR="002B473D" w:rsidRPr="002B473D">
        <w:rPr>
          <w:sz w:val="28"/>
          <w:szCs w:val="28"/>
        </w:rPr>
        <w:t xml:space="preserve"> </w:t>
      </w:r>
    </w:p>
    <w:p w:rsidR="00BC4EE4" w:rsidRDefault="00BC4EE4">
      <w:pPr>
        <w:autoSpaceDE w:val="0"/>
        <w:autoSpaceDN w:val="0"/>
        <w:ind w:left="720" w:right="720"/>
        <w:jc w:val="both"/>
        <w:rPr>
          <w:sz w:val="28"/>
          <w:szCs w:val="28"/>
        </w:rPr>
      </w:pPr>
    </w:p>
    <w:p w:rsidR="00CF0E2C" w:rsidRPr="002B473D" w:rsidRDefault="002B473D">
      <w:pPr>
        <w:autoSpaceDE w:val="0"/>
        <w:autoSpaceDN w:val="0"/>
        <w:ind w:left="720" w:right="720"/>
        <w:jc w:val="both"/>
        <w:rPr>
          <w:sz w:val="28"/>
          <w:szCs w:val="28"/>
        </w:rPr>
      </w:pPr>
      <w:r w:rsidRPr="002B473D">
        <w:rPr>
          <w:sz w:val="28"/>
          <w:szCs w:val="28"/>
        </w:rPr>
        <w:t>In cases with two or more defendants, s</w:t>
      </w:r>
      <w:r w:rsidR="00340C10">
        <w:rPr>
          <w:sz w:val="28"/>
          <w:szCs w:val="28"/>
        </w:rPr>
        <w:t>ome of whom have available the L</w:t>
      </w:r>
      <w:r w:rsidRPr="002B473D">
        <w:rPr>
          <w:sz w:val="28"/>
          <w:szCs w:val="28"/>
        </w:rPr>
        <w:t xml:space="preserve">imitation on Lawsuit Option defense and others who do not, </w:t>
      </w:r>
      <w:proofErr w:type="gramStart"/>
      <w:r w:rsidRPr="002B473D">
        <w:rPr>
          <w:sz w:val="28"/>
          <w:szCs w:val="28"/>
        </w:rPr>
        <w:t>charge</w:t>
      </w:r>
      <w:proofErr w:type="gramEnd"/>
      <w:r w:rsidRPr="002B473D">
        <w:rPr>
          <w:sz w:val="28"/>
          <w:szCs w:val="28"/>
        </w:rPr>
        <w:t xml:space="preserve"> the following:</w:t>
      </w:r>
    </w:p>
    <w:p w:rsidR="002B473D" w:rsidRDefault="002B473D">
      <w:pPr>
        <w:autoSpaceDE w:val="0"/>
        <w:autoSpaceDN w:val="0"/>
        <w:ind w:left="720" w:right="720"/>
        <w:jc w:val="both"/>
        <w:rPr>
          <w:i/>
          <w:sz w:val="28"/>
          <w:szCs w:val="28"/>
        </w:rPr>
      </w:pPr>
    </w:p>
    <w:p w:rsidR="002B473D" w:rsidRPr="002B473D" w:rsidRDefault="002B473D" w:rsidP="002B473D">
      <w:pPr>
        <w:tabs>
          <w:tab w:val="left" w:pos="630"/>
        </w:tabs>
        <w:spacing w:after="120"/>
        <w:ind w:left="720" w:right="720"/>
        <w:jc w:val="both"/>
        <w:rPr>
          <w:sz w:val="28"/>
          <w:szCs w:val="28"/>
        </w:rPr>
      </w:pPr>
      <w:r w:rsidRPr="002B473D">
        <w:rPr>
          <w:sz w:val="28"/>
          <w:szCs w:val="28"/>
        </w:rPr>
        <w:t xml:space="preserve">The jury should answer two specific interrogatories as to each defendant:  (1) was this defendant negligent; (2) if so, did the </w:t>
      </w:r>
      <w:r w:rsidRPr="002B473D">
        <w:rPr>
          <w:sz w:val="28"/>
          <w:szCs w:val="28"/>
        </w:rPr>
        <w:lastRenderedPageBreak/>
        <w:t xml:space="preserve">negligence proximately cause plaintiff’s injuries?  If more than one defendant was negligent and their negligence proximately caused plaintiff’s injuries, the jury has to find what percentage of the total negligence or fault is attributable to each defendant.   Once the jury answers those questions, it should then determine whether or not plaintiff satisfied the applicable threshold which applies to a defendant. Then the jury should affix damages.  </w:t>
      </w:r>
      <w:proofErr w:type="spellStart"/>
      <w:r w:rsidRPr="002B473D">
        <w:rPr>
          <w:i/>
          <w:sz w:val="28"/>
          <w:szCs w:val="28"/>
        </w:rPr>
        <w:t>Bolz</w:t>
      </w:r>
      <w:proofErr w:type="spellEnd"/>
      <w:r w:rsidRPr="002B473D">
        <w:rPr>
          <w:i/>
          <w:sz w:val="28"/>
          <w:szCs w:val="28"/>
        </w:rPr>
        <w:t xml:space="preserve"> v. </w:t>
      </w:r>
      <w:proofErr w:type="spellStart"/>
      <w:r w:rsidRPr="002B473D">
        <w:rPr>
          <w:i/>
          <w:sz w:val="28"/>
          <w:szCs w:val="28"/>
        </w:rPr>
        <w:t>Bolz</w:t>
      </w:r>
      <w:proofErr w:type="spellEnd"/>
      <w:r w:rsidRPr="002B473D">
        <w:rPr>
          <w:sz w:val="28"/>
          <w:szCs w:val="28"/>
        </w:rPr>
        <w:t xml:space="preserve">, 400 </w:t>
      </w:r>
      <w:r w:rsidRPr="002B473D">
        <w:rPr>
          <w:i/>
          <w:sz w:val="28"/>
          <w:szCs w:val="28"/>
        </w:rPr>
        <w:t>N.J. Super.</w:t>
      </w:r>
      <w:r w:rsidRPr="002B473D">
        <w:rPr>
          <w:sz w:val="28"/>
          <w:szCs w:val="28"/>
        </w:rPr>
        <w:t xml:space="preserve"> 154 (App. Div. 2008).</w:t>
      </w:r>
    </w:p>
    <w:p w:rsidR="002B473D" w:rsidRDefault="002B473D">
      <w:pPr>
        <w:autoSpaceDE w:val="0"/>
        <w:autoSpaceDN w:val="0"/>
        <w:ind w:left="720" w:right="720"/>
        <w:jc w:val="both"/>
        <w:rPr>
          <w:i/>
          <w:sz w:val="28"/>
          <w:szCs w:val="28"/>
        </w:rPr>
      </w:pPr>
    </w:p>
    <w:p w:rsidR="00CF0E2C" w:rsidRDefault="007B403E" w:rsidP="002870FA">
      <w:pPr>
        <w:autoSpaceDE w:val="0"/>
        <w:autoSpaceDN w:val="0"/>
        <w:spacing w:line="480" w:lineRule="auto"/>
        <w:ind w:left="2160" w:hanging="720"/>
        <w:jc w:val="both"/>
        <w:rPr>
          <w:sz w:val="28"/>
          <w:szCs w:val="28"/>
        </w:rPr>
      </w:pPr>
      <w:r>
        <w:rPr>
          <w:sz w:val="28"/>
          <w:szCs w:val="28"/>
        </w:rPr>
        <w:t>1.</w:t>
      </w:r>
      <w:r>
        <w:rPr>
          <w:sz w:val="28"/>
          <w:szCs w:val="28"/>
        </w:rPr>
        <w:tab/>
      </w:r>
      <w:r w:rsidR="00CF0E2C">
        <w:rPr>
          <w:sz w:val="28"/>
          <w:szCs w:val="28"/>
        </w:rPr>
        <w:t>Death;</w:t>
      </w:r>
    </w:p>
    <w:p w:rsidR="00CF0E2C" w:rsidRDefault="007B403E" w:rsidP="002870FA">
      <w:pPr>
        <w:autoSpaceDE w:val="0"/>
        <w:autoSpaceDN w:val="0"/>
        <w:spacing w:line="480" w:lineRule="auto"/>
        <w:ind w:left="2160" w:hanging="720"/>
        <w:jc w:val="both"/>
        <w:rPr>
          <w:sz w:val="28"/>
          <w:szCs w:val="28"/>
        </w:rPr>
      </w:pPr>
      <w:r>
        <w:rPr>
          <w:sz w:val="28"/>
          <w:szCs w:val="28"/>
        </w:rPr>
        <w:t>2.</w:t>
      </w:r>
      <w:r>
        <w:rPr>
          <w:sz w:val="28"/>
          <w:szCs w:val="28"/>
        </w:rPr>
        <w:tab/>
      </w:r>
      <w:r w:rsidR="00CF0E2C">
        <w:rPr>
          <w:sz w:val="28"/>
          <w:szCs w:val="28"/>
        </w:rPr>
        <w:t>Dismemberment;</w:t>
      </w:r>
    </w:p>
    <w:p w:rsidR="00CF0E2C" w:rsidRDefault="007B403E" w:rsidP="002870FA">
      <w:pPr>
        <w:autoSpaceDE w:val="0"/>
        <w:autoSpaceDN w:val="0"/>
        <w:spacing w:line="480" w:lineRule="auto"/>
        <w:ind w:left="2160" w:hanging="720"/>
        <w:jc w:val="both"/>
        <w:rPr>
          <w:sz w:val="28"/>
          <w:szCs w:val="28"/>
        </w:rPr>
      </w:pPr>
      <w:r>
        <w:rPr>
          <w:sz w:val="28"/>
          <w:szCs w:val="28"/>
        </w:rPr>
        <w:t>3.</w:t>
      </w:r>
      <w:r>
        <w:rPr>
          <w:sz w:val="28"/>
          <w:szCs w:val="28"/>
        </w:rPr>
        <w:tab/>
      </w:r>
      <w:r w:rsidR="00CF0E2C">
        <w:rPr>
          <w:sz w:val="28"/>
          <w:szCs w:val="28"/>
        </w:rPr>
        <w:t>Significant disfigurement or significant scarring;</w:t>
      </w:r>
    </w:p>
    <w:p w:rsidR="00CF0E2C" w:rsidRDefault="007B403E" w:rsidP="002870FA">
      <w:pPr>
        <w:autoSpaceDE w:val="0"/>
        <w:autoSpaceDN w:val="0"/>
        <w:spacing w:line="480" w:lineRule="auto"/>
        <w:ind w:left="2160" w:hanging="720"/>
        <w:jc w:val="both"/>
        <w:rPr>
          <w:sz w:val="28"/>
          <w:szCs w:val="28"/>
        </w:rPr>
      </w:pPr>
      <w:r>
        <w:rPr>
          <w:sz w:val="28"/>
          <w:szCs w:val="28"/>
        </w:rPr>
        <w:t>4.</w:t>
      </w:r>
      <w:r>
        <w:rPr>
          <w:sz w:val="28"/>
          <w:szCs w:val="28"/>
        </w:rPr>
        <w:tab/>
      </w:r>
      <w:r w:rsidR="00CF0E2C">
        <w:rPr>
          <w:sz w:val="28"/>
          <w:szCs w:val="28"/>
        </w:rPr>
        <w:t>Displaced fracture;</w:t>
      </w:r>
    </w:p>
    <w:p w:rsidR="00CF0E2C" w:rsidRDefault="00CF0E2C" w:rsidP="002870FA">
      <w:pPr>
        <w:autoSpaceDE w:val="0"/>
        <w:autoSpaceDN w:val="0"/>
        <w:spacing w:line="480" w:lineRule="auto"/>
        <w:ind w:left="2160" w:hanging="720"/>
        <w:jc w:val="both"/>
        <w:rPr>
          <w:sz w:val="28"/>
          <w:szCs w:val="28"/>
        </w:rPr>
      </w:pPr>
      <w:r>
        <w:rPr>
          <w:sz w:val="28"/>
          <w:szCs w:val="28"/>
        </w:rPr>
        <w:t>5.</w:t>
      </w:r>
      <w:r w:rsidR="007B403E">
        <w:rPr>
          <w:sz w:val="28"/>
          <w:szCs w:val="28"/>
        </w:rPr>
        <w:tab/>
      </w:r>
      <w:r>
        <w:rPr>
          <w:sz w:val="28"/>
          <w:szCs w:val="28"/>
        </w:rPr>
        <w:t>Loss of a fetus;</w:t>
      </w:r>
    </w:p>
    <w:p w:rsidR="002B473D" w:rsidRDefault="007B403E" w:rsidP="002870FA">
      <w:pPr>
        <w:autoSpaceDE w:val="0"/>
        <w:autoSpaceDN w:val="0"/>
        <w:ind w:left="2160" w:hanging="720"/>
        <w:jc w:val="both"/>
        <w:rPr>
          <w:sz w:val="28"/>
          <w:szCs w:val="28"/>
        </w:rPr>
      </w:pPr>
      <w:r>
        <w:rPr>
          <w:sz w:val="28"/>
          <w:szCs w:val="28"/>
        </w:rPr>
        <w:t>6.</w:t>
      </w:r>
      <w:r>
        <w:rPr>
          <w:sz w:val="28"/>
          <w:szCs w:val="28"/>
        </w:rPr>
        <w:tab/>
      </w:r>
      <w:r w:rsidR="00CF0E2C">
        <w:rPr>
          <w:sz w:val="28"/>
          <w:szCs w:val="28"/>
        </w:rPr>
        <w:t xml:space="preserve">A </w:t>
      </w:r>
      <w:r w:rsidR="00A01C7E">
        <w:rPr>
          <w:sz w:val="28"/>
          <w:szCs w:val="28"/>
        </w:rPr>
        <w:t xml:space="preserve">permanent </w:t>
      </w:r>
      <w:r w:rsidR="00CF0E2C">
        <w:rPr>
          <w:sz w:val="28"/>
          <w:szCs w:val="28"/>
        </w:rPr>
        <w:t>injury within a reasonable degree of medical probability, other than scarring or disfigurement.</w:t>
      </w:r>
    </w:p>
    <w:p w:rsidR="002B473D" w:rsidRDefault="002B473D" w:rsidP="002B473D">
      <w:pPr>
        <w:autoSpaceDE w:val="0"/>
        <w:autoSpaceDN w:val="0"/>
        <w:ind w:left="1440" w:hanging="720"/>
        <w:jc w:val="both"/>
        <w:rPr>
          <w:sz w:val="28"/>
          <w:szCs w:val="28"/>
        </w:rPr>
      </w:pPr>
    </w:p>
    <w:p w:rsidR="00CF0E2C" w:rsidRDefault="002B473D" w:rsidP="00A81293">
      <w:pPr>
        <w:autoSpaceDE w:val="0"/>
        <w:autoSpaceDN w:val="0"/>
        <w:spacing w:line="480" w:lineRule="auto"/>
        <w:jc w:val="both"/>
        <w:rPr>
          <w:sz w:val="28"/>
          <w:szCs w:val="28"/>
        </w:rPr>
      </w:pPr>
      <w:r>
        <w:rPr>
          <w:sz w:val="28"/>
          <w:szCs w:val="28"/>
        </w:rPr>
        <w:tab/>
      </w:r>
      <w:r w:rsidR="00CF0E2C">
        <w:rPr>
          <w:sz w:val="28"/>
          <w:szCs w:val="28"/>
        </w:rPr>
        <w:t xml:space="preserve">If you find </w:t>
      </w:r>
      <w:r w:rsidR="003A417F">
        <w:rPr>
          <w:sz w:val="28"/>
          <w:szCs w:val="28"/>
        </w:rPr>
        <w:t xml:space="preserve">that none of </w:t>
      </w:r>
      <w:r w:rsidR="00CF0E2C">
        <w:rPr>
          <w:sz w:val="28"/>
          <w:szCs w:val="28"/>
        </w:rPr>
        <w:t xml:space="preserve">the injuries caused by the accident come within one of these categories, your verdict must be for the defendant.  If you find </w:t>
      </w:r>
      <w:r w:rsidR="003A417F">
        <w:rPr>
          <w:sz w:val="28"/>
          <w:szCs w:val="28"/>
        </w:rPr>
        <w:t xml:space="preserve">that at least one of </w:t>
      </w:r>
      <w:r w:rsidR="00CF0E2C">
        <w:rPr>
          <w:sz w:val="28"/>
          <w:szCs w:val="28"/>
        </w:rPr>
        <w:t>the injuries caused by the accident come</w:t>
      </w:r>
      <w:r w:rsidR="003A417F">
        <w:rPr>
          <w:sz w:val="28"/>
          <w:szCs w:val="28"/>
        </w:rPr>
        <w:t>s</w:t>
      </w:r>
      <w:r w:rsidR="00CF0E2C">
        <w:rPr>
          <w:sz w:val="28"/>
          <w:szCs w:val="28"/>
        </w:rPr>
        <w:t xml:space="preserve"> within one of these categories, your verdict must be for the plaintiff.</w:t>
      </w:r>
    </w:p>
    <w:p w:rsidR="0097785B" w:rsidRDefault="00B361C8" w:rsidP="0097785B">
      <w:pPr>
        <w:rPr>
          <w:b/>
          <w:sz w:val="28"/>
          <w:szCs w:val="28"/>
        </w:rPr>
      </w:pPr>
      <w:r>
        <w:rPr>
          <w:b/>
          <w:sz w:val="28"/>
          <w:szCs w:val="28"/>
        </w:rPr>
        <w:tab/>
      </w:r>
      <w:r w:rsidR="00E60A51">
        <w:rPr>
          <w:b/>
          <w:sz w:val="28"/>
          <w:szCs w:val="28"/>
        </w:rPr>
        <w:t>B</w:t>
      </w:r>
      <w:r w:rsidR="00E60A51" w:rsidRPr="00E60A51">
        <w:rPr>
          <w:b/>
          <w:sz w:val="28"/>
          <w:szCs w:val="28"/>
        </w:rPr>
        <w:t xml:space="preserve">. </w:t>
      </w:r>
      <w:r w:rsidR="00E60A51">
        <w:rPr>
          <w:b/>
          <w:sz w:val="28"/>
          <w:szCs w:val="28"/>
        </w:rPr>
        <w:t xml:space="preserve"> </w:t>
      </w:r>
      <w:r w:rsidR="0097785B">
        <w:rPr>
          <w:b/>
          <w:sz w:val="28"/>
          <w:szCs w:val="28"/>
        </w:rPr>
        <w:tab/>
      </w:r>
      <w:r w:rsidR="004D4081">
        <w:rPr>
          <w:b/>
          <w:sz w:val="28"/>
          <w:szCs w:val="28"/>
        </w:rPr>
        <w:t>Significant Disfigurement or Significant S</w:t>
      </w:r>
      <w:r w:rsidR="00E60A51" w:rsidRPr="00E60A51">
        <w:rPr>
          <w:b/>
          <w:sz w:val="28"/>
          <w:szCs w:val="28"/>
        </w:rPr>
        <w:t>carring (Type 3)</w:t>
      </w:r>
      <w:r w:rsidR="00E60A51">
        <w:rPr>
          <w:b/>
          <w:sz w:val="28"/>
          <w:szCs w:val="28"/>
        </w:rPr>
        <w:t xml:space="preserve"> </w:t>
      </w:r>
    </w:p>
    <w:p w:rsidR="00E60A51" w:rsidRDefault="00E60A51" w:rsidP="0097785B">
      <w:pPr>
        <w:ind w:left="720" w:firstLine="720"/>
        <w:rPr>
          <w:sz w:val="28"/>
          <w:szCs w:val="28"/>
        </w:rPr>
      </w:pPr>
      <w:r w:rsidRPr="0097785B">
        <w:rPr>
          <w:sz w:val="28"/>
          <w:szCs w:val="28"/>
        </w:rPr>
        <w:t>(</w:t>
      </w:r>
      <w:r w:rsidR="0097785B">
        <w:rPr>
          <w:sz w:val="28"/>
          <w:szCs w:val="28"/>
        </w:rPr>
        <w:t xml:space="preserve">Revised </w:t>
      </w:r>
      <w:r w:rsidR="00A92081">
        <w:rPr>
          <w:sz w:val="28"/>
          <w:szCs w:val="28"/>
        </w:rPr>
        <w:t>0</w:t>
      </w:r>
      <w:r w:rsidR="00CB4203" w:rsidRPr="0097785B">
        <w:rPr>
          <w:sz w:val="28"/>
          <w:szCs w:val="28"/>
        </w:rPr>
        <w:t>6/</w:t>
      </w:r>
      <w:r w:rsidR="00A92081">
        <w:rPr>
          <w:sz w:val="28"/>
          <w:szCs w:val="28"/>
        </w:rPr>
        <w:t>20</w:t>
      </w:r>
      <w:r w:rsidRPr="0097785B">
        <w:rPr>
          <w:sz w:val="28"/>
          <w:szCs w:val="28"/>
        </w:rPr>
        <w:t>07)</w:t>
      </w:r>
    </w:p>
    <w:p w:rsidR="002B473D" w:rsidRPr="0097785B" w:rsidRDefault="002B473D" w:rsidP="0097785B">
      <w:pPr>
        <w:ind w:left="720" w:firstLine="720"/>
        <w:rPr>
          <w:sz w:val="28"/>
          <w:szCs w:val="28"/>
        </w:rPr>
      </w:pPr>
    </w:p>
    <w:p w:rsidR="00E60A51" w:rsidRDefault="00E60A51" w:rsidP="00A81293">
      <w:pPr>
        <w:spacing w:line="480" w:lineRule="auto"/>
        <w:ind w:firstLine="720"/>
        <w:jc w:val="both"/>
        <w:rPr>
          <w:sz w:val="28"/>
          <w:szCs w:val="28"/>
        </w:rPr>
      </w:pPr>
      <w:r w:rsidRPr="00E60A51">
        <w:rPr>
          <w:sz w:val="28"/>
          <w:szCs w:val="28"/>
        </w:rPr>
        <w:t xml:space="preserve">In this case, the plaintiff alleges and has the burden to prove that </w:t>
      </w:r>
      <w:r w:rsidR="00E51882">
        <w:rPr>
          <w:sz w:val="28"/>
          <w:szCs w:val="28"/>
        </w:rPr>
        <w:t>he/she</w:t>
      </w:r>
      <w:r w:rsidR="00E51882" w:rsidRPr="00E60A51">
        <w:rPr>
          <w:sz w:val="28"/>
          <w:szCs w:val="28"/>
        </w:rPr>
        <w:t xml:space="preserve"> </w:t>
      </w:r>
      <w:r w:rsidRPr="00E60A51">
        <w:rPr>
          <w:sz w:val="28"/>
          <w:szCs w:val="28"/>
        </w:rPr>
        <w:t xml:space="preserve">suffered a significant disfigurement or significant scarring as a result of the motor vehicle accident.  An injury shall be considered a significant disfigurement or </w:t>
      </w:r>
      <w:r w:rsidRPr="00E60A51">
        <w:rPr>
          <w:sz w:val="28"/>
          <w:szCs w:val="28"/>
        </w:rPr>
        <w:lastRenderedPageBreak/>
        <w:t xml:space="preserve">significant scarring if a reasonable person would find that the disfigurement or scarring renders plaintiff’s appearance unattractive, objectionable, or as the subject of pity or scorn, or that such condition individually or collectively substantially detracts from plaintiff’s appearance or impairs or injures the beauty, symmetry, or appearance of the plaintiff so as to render the bearer unsightly, misshapen or imperfect deforming </w:t>
      </w:r>
      <w:r w:rsidRPr="00E51882">
        <w:rPr>
          <w:sz w:val="28"/>
          <w:szCs w:val="28"/>
        </w:rPr>
        <w:t>him</w:t>
      </w:r>
      <w:r w:rsidR="00E51882">
        <w:rPr>
          <w:sz w:val="28"/>
          <w:szCs w:val="28"/>
        </w:rPr>
        <w:t>/</w:t>
      </w:r>
      <w:r w:rsidRPr="00E51882">
        <w:rPr>
          <w:sz w:val="28"/>
          <w:szCs w:val="28"/>
        </w:rPr>
        <w:t>her</w:t>
      </w:r>
      <w:r w:rsidRPr="00E60A51">
        <w:rPr>
          <w:sz w:val="28"/>
          <w:szCs w:val="28"/>
        </w:rPr>
        <w:t xml:space="preserve"> in some manner.  You shall consider as factors in making this determination the appearance, coloration, existence, size and shape of plaintiff’s disfigurement or scar[s] along with the characteristics of surrounding skin and the remnants of the healing process and other cosmetically important matters. </w:t>
      </w:r>
    </w:p>
    <w:p w:rsidR="00CF0E2C" w:rsidRPr="00A92081" w:rsidRDefault="00E60A51" w:rsidP="00BA7448">
      <w:pPr>
        <w:autoSpaceDE w:val="0"/>
        <w:autoSpaceDN w:val="0"/>
        <w:spacing w:line="480" w:lineRule="auto"/>
        <w:ind w:left="1440" w:hanging="720"/>
        <w:jc w:val="both"/>
        <w:rPr>
          <w:sz w:val="28"/>
          <w:szCs w:val="28"/>
        </w:rPr>
      </w:pPr>
      <w:r w:rsidRPr="00A92081">
        <w:rPr>
          <w:b/>
          <w:bCs/>
          <w:sz w:val="28"/>
          <w:szCs w:val="28"/>
        </w:rPr>
        <w:t>C</w:t>
      </w:r>
      <w:r w:rsidR="007B403E" w:rsidRPr="00A92081">
        <w:rPr>
          <w:b/>
          <w:bCs/>
          <w:sz w:val="28"/>
          <w:szCs w:val="28"/>
        </w:rPr>
        <w:t>.</w:t>
      </w:r>
      <w:r w:rsidR="007B403E" w:rsidRPr="00A92081">
        <w:rPr>
          <w:b/>
          <w:bCs/>
          <w:sz w:val="28"/>
          <w:szCs w:val="28"/>
        </w:rPr>
        <w:tab/>
      </w:r>
      <w:r w:rsidR="00CF0E2C" w:rsidRPr="00A92081">
        <w:rPr>
          <w:b/>
          <w:bCs/>
          <w:sz w:val="28"/>
          <w:szCs w:val="28"/>
        </w:rPr>
        <w:t>Permanent Injury (Type 6)</w:t>
      </w:r>
      <w:r w:rsidR="00A92081" w:rsidRPr="00A92081">
        <w:rPr>
          <w:sz w:val="28"/>
          <w:szCs w:val="28"/>
        </w:rPr>
        <w:t xml:space="preserve"> (Revised 03/2017)</w:t>
      </w:r>
    </w:p>
    <w:p w:rsidR="00CF0E2C" w:rsidRDefault="00CF0E2C" w:rsidP="00BA7448">
      <w:pPr>
        <w:autoSpaceDE w:val="0"/>
        <w:autoSpaceDN w:val="0"/>
        <w:spacing w:line="480" w:lineRule="auto"/>
        <w:ind w:firstLine="720"/>
        <w:jc w:val="both"/>
        <w:rPr>
          <w:sz w:val="28"/>
          <w:szCs w:val="28"/>
        </w:rPr>
      </w:pPr>
      <w:r>
        <w:rPr>
          <w:sz w:val="28"/>
          <w:szCs w:val="28"/>
        </w:rPr>
        <w:t xml:space="preserve">In this case, the plaintiff alleges that </w:t>
      </w:r>
      <w:r w:rsidR="00E51882">
        <w:rPr>
          <w:sz w:val="28"/>
          <w:szCs w:val="28"/>
        </w:rPr>
        <w:t>he/she</w:t>
      </w:r>
      <w:r>
        <w:rPr>
          <w:sz w:val="28"/>
          <w:szCs w:val="28"/>
        </w:rPr>
        <w:t xml:space="preserve"> suffered a permanent injury as a result</w:t>
      </w:r>
      <w:r w:rsidR="007B403E">
        <w:rPr>
          <w:sz w:val="28"/>
          <w:szCs w:val="28"/>
        </w:rPr>
        <w:t xml:space="preserve"> of the motor vehicle accident. </w:t>
      </w:r>
      <w:r>
        <w:rPr>
          <w:sz w:val="28"/>
          <w:szCs w:val="28"/>
        </w:rPr>
        <w:t xml:space="preserve"> An injury shall be considered permanent when the body part or organ, or both, has not healed to function normally and will not heal to function normally with further medical treatment.</w:t>
      </w:r>
      <w:bookmarkStart w:id="1" w:name="_ftnref2"/>
      <w:r>
        <w:rPr>
          <w:rStyle w:val="FootnoteReference"/>
          <w:sz w:val="28"/>
          <w:szCs w:val="28"/>
        </w:rPr>
        <w:footnoteReference w:id="3"/>
      </w:r>
      <w:bookmarkEnd w:id="1"/>
      <w:r>
        <w:rPr>
          <w:sz w:val="28"/>
          <w:szCs w:val="28"/>
        </w:rPr>
        <w:t xml:space="preserve"> </w:t>
      </w:r>
    </w:p>
    <w:p w:rsidR="00E60A51" w:rsidRDefault="00CF0E2C" w:rsidP="008B3285">
      <w:pPr>
        <w:tabs>
          <w:tab w:val="left" w:pos="-720"/>
        </w:tabs>
        <w:spacing w:line="480" w:lineRule="auto"/>
        <w:jc w:val="both"/>
        <w:rPr>
          <w:bCs/>
          <w:spacing w:val="-3"/>
          <w:sz w:val="28"/>
          <w:szCs w:val="28"/>
        </w:rPr>
      </w:pPr>
      <w:r>
        <w:rPr>
          <w:sz w:val="28"/>
          <w:szCs w:val="28"/>
        </w:rPr>
        <w:tab/>
        <w:t xml:space="preserve">Plaintiff must prove this claim through objective, credible medical evidence.  </w:t>
      </w:r>
      <w:r>
        <w:rPr>
          <w:spacing w:val="-3"/>
          <w:sz w:val="28"/>
          <w:szCs w:val="28"/>
        </w:rPr>
        <w:t xml:space="preserve">Objective proof means the injury must be verified by physical examination or medical </w:t>
      </w:r>
      <w:r>
        <w:rPr>
          <w:spacing w:val="-3"/>
          <w:sz w:val="28"/>
          <w:szCs w:val="28"/>
        </w:rPr>
        <w:lastRenderedPageBreak/>
        <w:t xml:space="preserve">testing and cannot be based solely upon the plaintiff’s subjective complaints.  </w:t>
      </w:r>
      <w:r>
        <w:rPr>
          <w:bCs/>
          <w:spacing w:val="-3"/>
          <w:sz w:val="28"/>
          <w:szCs w:val="28"/>
        </w:rPr>
        <w:t xml:space="preserve">Credible evidence is evidence you find to be believable.  </w:t>
      </w:r>
    </w:p>
    <w:p w:rsidR="00FF44AC" w:rsidRPr="00FF44AC" w:rsidRDefault="00FF44AC" w:rsidP="00A81293">
      <w:pPr>
        <w:autoSpaceDE w:val="0"/>
        <w:autoSpaceDN w:val="0"/>
        <w:spacing w:line="480" w:lineRule="auto"/>
        <w:ind w:firstLine="720"/>
        <w:jc w:val="both"/>
        <w:rPr>
          <w:sz w:val="28"/>
          <w:szCs w:val="28"/>
        </w:rPr>
      </w:pPr>
      <w:r w:rsidRPr="00FF44AC">
        <w:rPr>
          <w:sz w:val="28"/>
          <w:szCs w:val="28"/>
        </w:rPr>
        <w:t>If you determine that any one of the injuries contended by [</w:t>
      </w:r>
      <w:r w:rsidRPr="00FF44AC">
        <w:rPr>
          <w:i/>
          <w:sz w:val="28"/>
          <w:szCs w:val="28"/>
        </w:rPr>
        <w:t>Plaintiff</w:t>
      </w:r>
      <w:r w:rsidRPr="00FF44AC">
        <w:rPr>
          <w:sz w:val="28"/>
          <w:szCs w:val="28"/>
        </w:rPr>
        <w:t>] constitutes a permanent injury, then in that event, you should award damages to [</w:t>
      </w:r>
      <w:r w:rsidRPr="00FF44AC">
        <w:rPr>
          <w:i/>
          <w:sz w:val="28"/>
          <w:szCs w:val="28"/>
        </w:rPr>
        <w:t>Plaintiff</w:t>
      </w:r>
      <w:r w:rsidRPr="00FF44AC">
        <w:rPr>
          <w:sz w:val="28"/>
          <w:szCs w:val="28"/>
        </w:rPr>
        <w:t xml:space="preserve">], in accordance with these instructions for all </w:t>
      </w:r>
      <w:r w:rsidRPr="00E51882">
        <w:rPr>
          <w:sz w:val="28"/>
          <w:szCs w:val="28"/>
        </w:rPr>
        <w:t>his</w:t>
      </w:r>
      <w:r w:rsidR="00E51882">
        <w:rPr>
          <w:sz w:val="28"/>
          <w:szCs w:val="28"/>
        </w:rPr>
        <w:t>/</w:t>
      </w:r>
      <w:r w:rsidRPr="00E51882">
        <w:rPr>
          <w:sz w:val="28"/>
          <w:szCs w:val="28"/>
        </w:rPr>
        <w:t>her</w:t>
      </w:r>
      <w:r w:rsidRPr="00FF44AC">
        <w:rPr>
          <w:sz w:val="28"/>
          <w:szCs w:val="28"/>
        </w:rPr>
        <w:t xml:space="preserve"> injuries that you determine to have been proximately caused by the negligence of the defendant, including those injuries that you find to be non-permanent.</w:t>
      </w:r>
      <w:r w:rsidRPr="00FF44AC">
        <w:rPr>
          <w:rStyle w:val="FootnoteReference"/>
          <w:sz w:val="28"/>
          <w:szCs w:val="28"/>
        </w:rPr>
        <w:footnoteReference w:id="4"/>
      </w:r>
    </w:p>
    <w:p w:rsidR="00CF0E2C" w:rsidRDefault="00CF0E2C" w:rsidP="00743C06">
      <w:pPr>
        <w:autoSpaceDE w:val="0"/>
        <w:autoSpaceDN w:val="0"/>
        <w:spacing w:line="480" w:lineRule="auto"/>
        <w:jc w:val="both"/>
      </w:pPr>
    </w:p>
    <w:sectPr w:rsidR="00CF0E2C" w:rsidSect="00EE3F5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9E5" w:rsidRDefault="00C849E5">
      <w:r>
        <w:separator/>
      </w:r>
    </w:p>
  </w:endnote>
  <w:endnote w:type="continuationSeparator" w:id="0">
    <w:p w:rsidR="00C849E5" w:rsidRDefault="00C84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9E5" w:rsidRDefault="00C849E5">
      <w:r>
        <w:separator/>
      </w:r>
    </w:p>
  </w:footnote>
  <w:footnote w:type="continuationSeparator" w:id="0">
    <w:p w:rsidR="00C849E5" w:rsidRDefault="00C849E5">
      <w:r>
        <w:continuationSeparator/>
      </w:r>
    </w:p>
  </w:footnote>
  <w:footnote w:id="1">
    <w:p w:rsidR="00EF603A" w:rsidRDefault="00EF603A">
      <w:pPr>
        <w:pStyle w:val="FootnoteText"/>
        <w:jc w:val="both"/>
        <w:rPr>
          <w:sz w:val="24"/>
          <w:szCs w:val="24"/>
        </w:rPr>
      </w:pPr>
      <w:r w:rsidRPr="00BA7448">
        <w:rPr>
          <w:rStyle w:val="FootnoteReference"/>
          <w:sz w:val="24"/>
          <w:szCs w:val="24"/>
        </w:rPr>
        <w:footnoteRef/>
      </w:r>
      <w:r>
        <w:rPr>
          <w:sz w:val="24"/>
          <w:szCs w:val="24"/>
        </w:rPr>
        <w:t xml:space="preserve">  </w:t>
      </w:r>
      <w:r w:rsidRPr="00BA7448">
        <w:rPr>
          <w:i/>
          <w:iCs/>
          <w:sz w:val="24"/>
          <w:szCs w:val="24"/>
        </w:rPr>
        <w:t>See</w:t>
      </w:r>
      <w:r w:rsidRPr="00BA7448">
        <w:rPr>
          <w:sz w:val="24"/>
          <w:szCs w:val="24"/>
        </w:rPr>
        <w:t xml:space="preserve"> </w:t>
      </w:r>
      <w:r w:rsidRPr="00BA7448">
        <w:rPr>
          <w:i/>
          <w:iCs/>
          <w:sz w:val="24"/>
          <w:szCs w:val="24"/>
        </w:rPr>
        <w:t>N.J.S.A.</w:t>
      </w:r>
      <w:r w:rsidRPr="00BA7448">
        <w:rPr>
          <w:sz w:val="24"/>
          <w:szCs w:val="24"/>
        </w:rPr>
        <w:t xml:space="preserve"> 39:6A-8a. </w:t>
      </w:r>
      <w:r w:rsidR="00AE7230">
        <w:rPr>
          <w:sz w:val="24"/>
          <w:szCs w:val="24"/>
        </w:rPr>
        <w:t>T</w:t>
      </w:r>
      <w:r w:rsidRPr="00BA7448">
        <w:rPr>
          <w:sz w:val="24"/>
          <w:szCs w:val="24"/>
        </w:rPr>
        <w:t xml:space="preserve">he Limitation on Lawsuit Option within the </w:t>
      </w:r>
      <w:r w:rsidRPr="002B473D">
        <w:rPr>
          <w:i/>
          <w:sz w:val="24"/>
          <w:szCs w:val="24"/>
        </w:rPr>
        <w:t>Automobile Insurance Cost Reduction Act</w:t>
      </w:r>
      <w:r w:rsidRPr="002B473D">
        <w:rPr>
          <w:sz w:val="24"/>
          <w:szCs w:val="24"/>
        </w:rPr>
        <w:t xml:space="preserve"> (AICRA) </w:t>
      </w:r>
      <w:r w:rsidRPr="00BA7448">
        <w:rPr>
          <w:sz w:val="24"/>
          <w:szCs w:val="24"/>
        </w:rPr>
        <w:t xml:space="preserve">of 1998 (L.1998, c. 21 and c. 22) (“AICRA”), </w:t>
      </w:r>
      <w:r w:rsidR="00AE7230">
        <w:rPr>
          <w:sz w:val="24"/>
          <w:szCs w:val="24"/>
        </w:rPr>
        <w:t xml:space="preserve">identifies </w:t>
      </w:r>
      <w:r w:rsidRPr="00BA7448">
        <w:rPr>
          <w:sz w:val="24"/>
          <w:szCs w:val="24"/>
        </w:rPr>
        <w:t xml:space="preserve">the </w:t>
      </w:r>
      <w:r w:rsidR="00AE7230">
        <w:rPr>
          <w:sz w:val="24"/>
          <w:szCs w:val="24"/>
        </w:rPr>
        <w:t xml:space="preserve">following </w:t>
      </w:r>
      <w:r w:rsidRPr="00BA7448">
        <w:rPr>
          <w:sz w:val="24"/>
          <w:szCs w:val="24"/>
        </w:rPr>
        <w:t>categories: (1) death; (2) dismemberment; (3) significant disfigurement or significant scarring; (4) displaced fractures; (5) loss of a fetus; (6) a permanent injury within a reasonable degree of medical probability, other than scarring or disfigurement.  The effective date of this provision of AICRA is March 22, 1999.  Therefore, the Limitation on Lawsuit Option shall apply to individuals who, at the time of the accident, were insured under automobile liability insurance policies issued after March 22, 1999.  By way of example, if an individual was involved in a motor vehicle collision on March 23, 1999, but was still covered under a policy issued before the effective date of the statute (March 22, 1999), he or she will be subject to the verbal threshold charge applicable to L.1988, c.119 effective January 1, 1989.</w:t>
      </w:r>
    </w:p>
    <w:p w:rsidR="00AE7230" w:rsidRPr="00BA7448" w:rsidRDefault="00AE7230" w:rsidP="00C610BE">
      <w:pPr>
        <w:pStyle w:val="FootnoteText"/>
        <w:jc w:val="both"/>
        <w:rPr>
          <w:sz w:val="24"/>
          <w:szCs w:val="24"/>
        </w:rPr>
      </w:pPr>
    </w:p>
  </w:footnote>
  <w:footnote w:id="2">
    <w:p w:rsidR="00EE3F59" w:rsidRPr="002870FA" w:rsidRDefault="00EE3F59" w:rsidP="00EE3F59">
      <w:pPr>
        <w:jc w:val="both"/>
      </w:pPr>
      <w:r>
        <w:rPr>
          <w:rStyle w:val="FootnoteReference"/>
        </w:rPr>
        <w:footnoteRef/>
      </w:r>
      <w:r>
        <w:t xml:space="preserve">  </w:t>
      </w:r>
      <w:r>
        <w:t xml:space="preserve">This charge was previously designated as 5.33B. Former charge 5.33A – the verbal threshold charge applicable to L.1988, c.119, effective January 1, 1989 – applied only to individuals covered under </w:t>
      </w:r>
      <w:r w:rsidRPr="002870FA">
        <w:t xml:space="preserve">policies issued before March 22, 1999 (the effective date of the </w:t>
      </w:r>
      <w:r w:rsidRPr="002870FA">
        <w:rPr>
          <w:bCs/>
        </w:rPr>
        <w:t xml:space="preserve">current </w:t>
      </w:r>
      <w:r w:rsidRPr="002870FA">
        <w:t xml:space="preserve">statute).  In 2018, former charge 5.33A </w:t>
      </w:r>
      <w:r w:rsidRPr="002870FA">
        <w:rPr>
          <w:bCs/>
        </w:rPr>
        <w:t>was</w:t>
      </w:r>
      <w:r w:rsidRPr="002870FA">
        <w:t xml:space="preserve"> deemed outdated and therefore rescinded.  However, to the extent an individual is covered under a policy issued before March 22, 1999, he or she will be subject to the former </w:t>
      </w:r>
      <w:r w:rsidRPr="002870FA">
        <w:rPr>
          <w:bCs/>
        </w:rPr>
        <w:t>statute,</w:t>
      </w:r>
      <w:r w:rsidRPr="002870FA">
        <w:t xml:space="preserve"> </w:t>
      </w:r>
      <w:r w:rsidRPr="002870FA">
        <w:rPr>
          <w:bCs/>
        </w:rPr>
        <w:t>L.1988, c.119 effective January 1, 1989</w:t>
      </w:r>
      <w:r w:rsidRPr="002870FA">
        <w:t>.</w:t>
      </w:r>
    </w:p>
    <w:p w:rsidR="00EE3F59" w:rsidRDefault="00EE3F59">
      <w:pPr>
        <w:pStyle w:val="FootnoteText"/>
      </w:pPr>
    </w:p>
  </w:footnote>
  <w:footnote w:id="3">
    <w:p w:rsidR="00EF603A" w:rsidRPr="00BA7448" w:rsidRDefault="00EF603A">
      <w:pPr>
        <w:pStyle w:val="FootnoteText"/>
        <w:jc w:val="both"/>
        <w:rPr>
          <w:sz w:val="24"/>
          <w:szCs w:val="24"/>
        </w:rPr>
      </w:pPr>
      <w:r>
        <w:rPr>
          <w:rStyle w:val="FootnoteReference"/>
          <w:sz w:val="24"/>
          <w:szCs w:val="24"/>
        </w:rPr>
        <w:footnoteRef/>
      </w:r>
      <w:r>
        <w:rPr>
          <w:sz w:val="24"/>
          <w:szCs w:val="24"/>
        </w:rPr>
        <w:t xml:space="preserve">  </w:t>
      </w:r>
      <w:bookmarkStart w:id="2" w:name="_GoBack"/>
      <w:bookmarkEnd w:id="2"/>
      <w:r w:rsidRPr="00BA7448">
        <w:rPr>
          <w:sz w:val="24"/>
          <w:szCs w:val="24"/>
        </w:rPr>
        <w:t>This definition of “permanent injury” is taken dire</w:t>
      </w:r>
      <w:r>
        <w:rPr>
          <w:sz w:val="24"/>
          <w:szCs w:val="24"/>
        </w:rPr>
        <w:t xml:space="preserve">ctly from the </w:t>
      </w:r>
      <w:r w:rsidRPr="00BA7448">
        <w:rPr>
          <w:sz w:val="24"/>
          <w:szCs w:val="24"/>
        </w:rPr>
        <w:t>AICRA</w:t>
      </w:r>
      <w:r>
        <w:rPr>
          <w:sz w:val="24"/>
          <w:szCs w:val="24"/>
        </w:rPr>
        <w:t xml:space="preserve"> of 1998</w:t>
      </w:r>
      <w:r w:rsidRPr="00BA7448">
        <w:rPr>
          <w:sz w:val="24"/>
          <w:szCs w:val="24"/>
        </w:rPr>
        <w:t xml:space="preserve">, </w:t>
      </w:r>
      <w:r w:rsidRPr="00BA7448">
        <w:rPr>
          <w:i/>
          <w:sz w:val="24"/>
          <w:szCs w:val="24"/>
        </w:rPr>
        <w:t>N.J.S.A</w:t>
      </w:r>
      <w:r w:rsidRPr="00BA7448">
        <w:rPr>
          <w:sz w:val="24"/>
          <w:szCs w:val="24"/>
        </w:rPr>
        <w:t xml:space="preserve">. 39:6A-8.  In </w:t>
      </w:r>
      <w:proofErr w:type="spellStart"/>
      <w:r w:rsidRPr="00BA7448">
        <w:rPr>
          <w:i/>
          <w:sz w:val="24"/>
          <w:szCs w:val="24"/>
        </w:rPr>
        <w:t>DiProspero</w:t>
      </w:r>
      <w:proofErr w:type="spellEnd"/>
      <w:r w:rsidRPr="00BA7448">
        <w:rPr>
          <w:i/>
          <w:sz w:val="24"/>
          <w:szCs w:val="24"/>
        </w:rPr>
        <w:t xml:space="preserve"> v. Penn</w:t>
      </w:r>
      <w:r w:rsidRPr="00BA7448">
        <w:rPr>
          <w:sz w:val="24"/>
          <w:szCs w:val="24"/>
        </w:rPr>
        <w:t xml:space="preserve">, 183 </w:t>
      </w:r>
      <w:r w:rsidRPr="00BA7448">
        <w:rPr>
          <w:i/>
          <w:sz w:val="24"/>
          <w:szCs w:val="24"/>
        </w:rPr>
        <w:t>N.J.</w:t>
      </w:r>
      <w:r w:rsidRPr="00BA7448">
        <w:rPr>
          <w:sz w:val="24"/>
          <w:szCs w:val="24"/>
        </w:rPr>
        <w:t xml:space="preserve"> 477 (2005), the New Jersey Supreme Court held that the Legislature did not intend to require a plaintiff with a Type 6 injury to prove a “serious or substantial impact” on his or her life in order to pierce the verbal threshold.  Therefore, a plaintiff need only prove a permanent injury, as defined in the statute, to recover for non-economic damages.</w:t>
      </w:r>
    </w:p>
  </w:footnote>
  <w:footnote w:id="4">
    <w:p w:rsidR="00FF44AC" w:rsidRPr="00127828" w:rsidRDefault="00FF44AC" w:rsidP="00FF44AC">
      <w:pPr>
        <w:pStyle w:val="FootnoteText"/>
        <w:rPr>
          <w:sz w:val="24"/>
          <w:szCs w:val="24"/>
        </w:rPr>
      </w:pPr>
      <w:r w:rsidRPr="00127828">
        <w:rPr>
          <w:rStyle w:val="FootnoteReference"/>
          <w:sz w:val="24"/>
          <w:szCs w:val="24"/>
        </w:rPr>
        <w:footnoteRef/>
      </w:r>
      <w:r w:rsidRPr="00127828">
        <w:rPr>
          <w:sz w:val="24"/>
          <w:szCs w:val="24"/>
        </w:rPr>
        <w:t xml:space="preserve"> </w:t>
      </w:r>
      <w:r w:rsidRPr="00FF44AC">
        <w:rPr>
          <w:i/>
          <w:sz w:val="24"/>
          <w:szCs w:val="24"/>
        </w:rPr>
        <w:t xml:space="preserve">Johnson v. </w:t>
      </w:r>
      <w:proofErr w:type="spellStart"/>
      <w:r w:rsidRPr="00FF44AC">
        <w:rPr>
          <w:i/>
          <w:sz w:val="24"/>
          <w:szCs w:val="24"/>
        </w:rPr>
        <w:t>Scaccetti</w:t>
      </w:r>
      <w:proofErr w:type="spellEnd"/>
      <w:r w:rsidRPr="00127828">
        <w:rPr>
          <w:sz w:val="24"/>
          <w:szCs w:val="24"/>
        </w:rPr>
        <w:t xml:space="preserve">, </w:t>
      </w:r>
      <w:r>
        <w:rPr>
          <w:sz w:val="24"/>
          <w:szCs w:val="24"/>
        </w:rPr>
        <w:t>192</w:t>
      </w:r>
      <w:r w:rsidRPr="00127828">
        <w:rPr>
          <w:sz w:val="24"/>
          <w:szCs w:val="24"/>
        </w:rPr>
        <w:t xml:space="preserve"> </w:t>
      </w:r>
      <w:r w:rsidRPr="00FF44AC">
        <w:rPr>
          <w:i/>
          <w:sz w:val="24"/>
          <w:szCs w:val="24"/>
        </w:rPr>
        <w:t>N.J.</w:t>
      </w:r>
      <w:r w:rsidRPr="00127828">
        <w:rPr>
          <w:sz w:val="24"/>
          <w:szCs w:val="24"/>
        </w:rPr>
        <w:t xml:space="preserve"> </w:t>
      </w:r>
      <w:r>
        <w:rPr>
          <w:sz w:val="24"/>
          <w:szCs w:val="24"/>
        </w:rPr>
        <w:t>256 (2007)</w:t>
      </w:r>
      <w:r w:rsidRPr="00127828">
        <w:rPr>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03A" w:rsidRDefault="00EF603A">
    <w:pPr>
      <w:pStyle w:val="Header"/>
      <w:jc w:val="right"/>
    </w:pPr>
    <w:r>
      <w:rPr>
        <w:b/>
        <w:bCs/>
        <w:sz w:val="28"/>
        <w:szCs w:val="28"/>
      </w:rPr>
      <w:t xml:space="preserve">CHARGE 5.33 — Page </w:t>
    </w:r>
    <w:r>
      <w:rPr>
        <w:b/>
        <w:bCs/>
        <w:sz w:val="28"/>
        <w:szCs w:val="28"/>
      </w:rPr>
      <w:fldChar w:fldCharType="begin"/>
    </w:r>
    <w:r>
      <w:rPr>
        <w:b/>
        <w:bCs/>
        <w:sz w:val="28"/>
        <w:szCs w:val="28"/>
      </w:rPr>
      <w:instrText xml:space="preserve"> PAGE </w:instrText>
    </w:r>
    <w:r>
      <w:rPr>
        <w:b/>
        <w:bCs/>
        <w:sz w:val="28"/>
        <w:szCs w:val="28"/>
      </w:rPr>
      <w:fldChar w:fldCharType="separate"/>
    </w:r>
    <w:r w:rsidR="00EE3F59">
      <w:rPr>
        <w:b/>
        <w:bCs/>
        <w:noProof/>
        <w:sz w:val="28"/>
        <w:szCs w:val="28"/>
      </w:rPr>
      <w:t>4</w:t>
    </w:r>
    <w:r>
      <w:rPr>
        <w:b/>
        <w:bCs/>
        <w:sz w:val="28"/>
        <w:szCs w:val="28"/>
      </w:rPr>
      <w:fldChar w:fldCharType="end"/>
    </w:r>
    <w:r>
      <w:rPr>
        <w:b/>
        <w:bCs/>
        <w:sz w:val="28"/>
        <w:szCs w:val="28"/>
      </w:rPr>
      <w:t xml:space="preserve"> of </w:t>
    </w:r>
    <w:r>
      <w:rPr>
        <w:b/>
        <w:bCs/>
        <w:sz w:val="28"/>
        <w:szCs w:val="28"/>
      </w:rPr>
      <w:fldChar w:fldCharType="begin"/>
    </w:r>
    <w:r>
      <w:rPr>
        <w:b/>
        <w:bCs/>
        <w:sz w:val="28"/>
        <w:szCs w:val="28"/>
      </w:rPr>
      <w:instrText xml:space="preserve"> NUMPAGES </w:instrText>
    </w:r>
    <w:r>
      <w:rPr>
        <w:b/>
        <w:bCs/>
        <w:sz w:val="28"/>
        <w:szCs w:val="28"/>
      </w:rPr>
      <w:fldChar w:fldCharType="separate"/>
    </w:r>
    <w:r w:rsidR="00EE3F59">
      <w:rPr>
        <w:b/>
        <w:bCs/>
        <w:noProof/>
        <w:sz w:val="28"/>
        <w:szCs w:val="28"/>
      </w:rPr>
      <w:t>4</w:t>
    </w:r>
    <w:r>
      <w:rPr>
        <w:b/>
        <w:bCs/>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03E"/>
    <w:rsid w:val="000C3FE1"/>
    <w:rsid w:val="000F3656"/>
    <w:rsid w:val="00116E53"/>
    <w:rsid w:val="00166462"/>
    <w:rsid w:val="002202BD"/>
    <w:rsid w:val="00220525"/>
    <w:rsid w:val="002870FA"/>
    <w:rsid w:val="002A28E2"/>
    <w:rsid w:val="002B473D"/>
    <w:rsid w:val="002D61A0"/>
    <w:rsid w:val="003224EF"/>
    <w:rsid w:val="00340027"/>
    <w:rsid w:val="00340C10"/>
    <w:rsid w:val="003502D1"/>
    <w:rsid w:val="00380757"/>
    <w:rsid w:val="003A417F"/>
    <w:rsid w:val="003B3FBC"/>
    <w:rsid w:val="003F0042"/>
    <w:rsid w:val="00401A91"/>
    <w:rsid w:val="0046386C"/>
    <w:rsid w:val="004D4081"/>
    <w:rsid w:val="005E7BF8"/>
    <w:rsid w:val="00651BCD"/>
    <w:rsid w:val="006969AE"/>
    <w:rsid w:val="006E37CB"/>
    <w:rsid w:val="006E3932"/>
    <w:rsid w:val="006F46FC"/>
    <w:rsid w:val="00743C06"/>
    <w:rsid w:val="007B403E"/>
    <w:rsid w:val="008015FE"/>
    <w:rsid w:val="00802967"/>
    <w:rsid w:val="00806B3A"/>
    <w:rsid w:val="0084526D"/>
    <w:rsid w:val="008626A5"/>
    <w:rsid w:val="00880880"/>
    <w:rsid w:val="008B3285"/>
    <w:rsid w:val="009327CC"/>
    <w:rsid w:val="00936B66"/>
    <w:rsid w:val="00940D31"/>
    <w:rsid w:val="0097785B"/>
    <w:rsid w:val="00980397"/>
    <w:rsid w:val="00982126"/>
    <w:rsid w:val="00A01C7E"/>
    <w:rsid w:val="00A73CDF"/>
    <w:rsid w:val="00A81293"/>
    <w:rsid w:val="00A92081"/>
    <w:rsid w:val="00AA4802"/>
    <w:rsid w:val="00AE7230"/>
    <w:rsid w:val="00B361C8"/>
    <w:rsid w:val="00B77867"/>
    <w:rsid w:val="00B96F54"/>
    <w:rsid w:val="00BA7448"/>
    <w:rsid w:val="00BB3EAA"/>
    <w:rsid w:val="00BC4EE4"/>
    <w:rsid w:val="00C5744B"/>
    <w:rsid w:val="00C610BE"/>
    <w:rsid w:val="00C847F1"/>
    <w:rsid w:val="00C849E5"/>
    <w:rsid w:val="00CB4203"/>
    <w:rsid w:val="00CF0E2C"/>
    <w:rsid w:val="00DB5E7A"/>
    <w:rsid w:val="00DF7BE8"/>
    <w:rsid w:val="00E1480C"/>
    <w:rsid w:val="00E51882"/>
    <w:rsid w:val="00E60A51"/>
    <w:rsid w:val="00EB43EC"/>
    <w:rsid w:val="00EE3F59"/>
    <w:rsid w:val="00EF603A"/>
    <w:rsid w:val="00FF0CC5"/>
    <w:rsid w:val="00FF4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09926E"/>
  <w15:chartTrackingRefBased/>
  <w15:docId w15:val="{A65287CC-5FA3-41E5-BF61-67AF99AAE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autoSpaceDE w:val="0"/>
      <w:autoSpaceDN w:val="0"/>
      <w:spacing w:line="480" w:lineRule="auto"/>
      <w:ind w:firstLine="720"/>
      <w:jc w:val="both"/>
    </w:pPr>
    <w:rPr>
      <w:sz w:val="28"/>
      <w:szCs w:val="28"/>
    </w:rPr>
  </w:style>
  <w:style w:type="paragraph" w:styleId="BlockText">
    <w:name w:val="Block Text"/>
    <w:basedOn w:val="Normal"/>
    <w:pPr>
      <w:autoSpaceDE w:val="0"/>
      <w:autoSpaceDN w:val="0"/>
      <w:ind w:left="720" w:right="720"/>
      <w:jc w:val="both"/>
    </w:pPr>
    <w:rPr>
      <w:i/>
      <w:iCs/>
      <w:sz w:val="28"/>
      <w:szCs w:val="28"/>
    </w:rPr>
  </w:style>
  <w:style w:type="paragraph" w:customStyle="1" w:styleId="level1">
    <w:name w:val="level1"/>
    <w:basedOn w:val="Normal"/>
    <w:pPr>
      <w:autoSpaceDE w:val="0"/>
      <w:autoSpaceDN w:val="0"/>
      <w:ind w:left="1440" w:hanging="720"/>
    </w:pPr>
    <w:rPr>
      <w:sz w:val="20"/>
      <w:szCs w:val="20"/>
    </w:rPr>
  </w:style>
  <w:style w:type="character" w:styleId="Hyperlink">
    <w:name w:val="Hyperlink"/>
    <w:basedOn w:val="DefaultParagraphFont"/>
    <w:rPr>
      <w:color w:val="0000FF"/>
      <w:u w:val="single"/>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77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586</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5</vt:lpstr>
    </vt:vector>
  </TitlesOfParts>
  <Company>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Preferred Customer</dc:creator>
  <cp:keywords/>
  <dc:description/>
  <cp:lastModifiedBy>Diane Lanza</cp:lastModifiedBy>
  <cp:revision>3</cp:revision>
  <cp:lastPrinted>2018-07-11T20:23:00Z</cp:lastPrinted>
  <dcterms:created xsi:type="dcterms:W3CDTF">2018-07-11T20:24:00Z</dcterms:created>
  <dcterms:modified xsi:type="dcterms:W3CDTF">2018-07-19T17:08:00Z</dcterms:modified>
</cp:coreProperties>
</file>