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BE6E33" w14:textId="4FEE6DDC" w:rsidR="00533AC8" w:rsidRDefault="009E3DB4" w:rsidP="00533AC8">
      <w:pPr>
        <w:ind w:left="1440" w:hanging="1440"/>
        <w:rPr>
          <w:rFonts w:ascii="Times New Roman" w:hAnsi="Times New Roman"/>
          <w:szCs w:val="28"/>
        </w:rPr>
      </w:pPr>
      <w:r>
        <w:rPr>
          <w:rFonts w:ascii="Times New Roman" w:hAnsi="Times New Roman"/>
          <w:b/>
          <w:spacing w:val="-3"/>
        </w:rPr>
        <w:t>5.40</w:t>
      </w:r>
      <w:r w:rsidR="00873A62">
        <w:rPr>
          <w:rFonts w:ascii="Times New Roman" w:hAnsi="Times New Roman"/>
          <w:b/>
          <w:spacing w:val="-3"/>
        </w:rPr>
        <w:t>C</w:t>
      </w:r>
      <w:r w:rsidR="00873A62">
        <w:rPr>
          <w:rFonts w:ascii="Times New Roman" w:hAnsi="Times New Roman"/>
          <w:b/>
          <w:spacing w:val="-3"/>
        </w:rPr>
        <w:tab/>
      </w:r>
      <w:r w:rsidR="00873A62" w:rsidRPr="00873A62">
        <w:rPr>
          <w:rFonts w:ascii="Times New Roman Bold" w:hAnsi="Times New Roman Bold"/>
          <w:b/>
          <w:caps/>
          <w:spacing w:val="-3"/>
          <w:szCs w:val="28"/>
        </w:rPr>
        <w:t>F</w:t>
      </w:r>
      <w:r w:rsidR="00DC7161" w:rsidRPr="00873A62">
        <w:rPr>
          <w:rFonts w:ascii="Times New Roman Bold" w:hAnsi="Times New Roman Bold"/>
          <w:b/>
          <w:bCs/>
          <w:caps/>
          <w:szCs w:val="28"/>
        </w:rPr>
        <w:t>ailure t</w:t>
      </w:r>
      <w:r w:rsidR="00EA315A" w:rsidRPr="00873A62">
        <w:rPr>
          <w:rFonts w:ascii="Times New Roman Bold" w:hAnsi="Times New Roman Bold"/>
          <w:b/>
          <w:bCs/>
          <w:caps/>
          <w:szCs w:val="28"/>
        </w:rPr>
        <w:t>o Warn/Instruct</w:t>
      </w:r>
      <w:r w:rsidR="00EA315A">
        <w:rPr>
          <w:rStyle w:val="FootnoteReference"/>
          <w:rFonts w:ascii="Times New Roman" w:hAnsi="Times New Roman"/>
          <w:szCs w:val="28"/>
        </w:rPr>
        <w:footnoteReference w:id="1"/>
      </w:r>
      <w:r w:rsidR="00EA315A">
        <w:rPr>
          <w:rFonts w:ascii="Times New Roman" w:hAnsi="Times New Roman"/>
          <w:szCs w:val="28"/>
        </w:rPr>
        <w:t xml:space="preserve"> </w:t>
      </w:r>
    </w:p>
    <w:p w14:paraId="04968CDF" w14:textId="7E3E77F4" w:rsidR="00EA315A" w:rsidRDefault="00EA315A" w:rsidP="00533AC8">
      <w:pPr>
        <w:ind w:left="1440"/>
        <w:rPr>
          <w:rFonts w:ascii="Times New Roman" w:hAnsi="Times New Roman"/>
          <w:szCs w:val="28"/>
        </w:rPr>
      </w:pPr>
      <w:r>
        <w:rPr>
          <w:rFonts w:ascii="Times New Roman" w:hAnsi="Times New Roman"/>
          <w:szCs w:val="28"/>
        </w:rPr>
        <w:t xml:space="preserve">(Approved 3/00; Revised </w:t>
      </w:r>
      <w:r w:rsidR="002F7251">
        <w:rPr>
          <w:rFonts w:ascii="Times New Roman" w:hAnsi="Times New Roman"/>
          <w:szCs w:val="28"/>
        </w:rPr>
        <w:t>11</w:t>
      </w:r>
      <w:r w:rsidR="00FF2F0D">
        <w:rPr>
          <w:rFonts w:ascii="Times New Roman" w:hAnsi="Times New Roman"/>
          <w:szCs w:val="28"/>
        </w:rPr>
        <w:t>/</w:t>
      </w:r>
      <w:r w:rsidR="005A60A5">
        <w:rPr>
          <w:rFonts w:ascii="Times New Roman" w:hAnsi="Times New Roman"/>
          <w:szCs w:val="28"/>
        </w:rPr>
        <w:t>2023</w:t>
      </w:r>
      <w:r>
        <w:rPr>
          <w:rFonts w:ascii="Times New Roman" w:hAnsi="Times New Roman"/>
          <w:szCs w:val="28"/>
        </w:rPr>
        <w:t>)</w:t>
      </w:r>
    </w:p>
    <w:p w14:paraId="1EA70188" w14:textId="77777777" w:rsidR="00873A62" w:rsidRDefault="00873A62" w:rsidP="00873A62">
      <w:pPr>
        <w:spacing w:after="180"/>
        <w:ind w:left="1440" w:hanging="1440"/>
        <w:rPr>
          <w:rFonts w:ascii="Times New Roman" w:hAnsi="Times New Roman"/>
          <w:szCs w:val="28"/>
        </w:rPr>
      </w:pPr>
    </w:p>
    <w:p w14:paraId="07F292EE" w14:textId="77777777" w:rsidR="00EA315A" w:rsidRDefault="00EA315A">
      <w:pPr>
        <w:pStyle w:val="BodyTextIndent2"/>
      </w:pPr>
      <w:r>
        <w:t>Let me now discuss the law governing the plaintiff’s claim of failure to warn.</w:t>
      </w:r>
    </w:p>
    <w:p w14:paraId="7FFB63BD" w14:textId="0CCA7BA2"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If a product fails to contain an adequate warning or instructions, it is defective.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says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did not contain an adequate warning or instruction because </w:t>
      </w:r>
      <w:r w:rsidR="00205651" w:rsidRPr="00205651">
        <w:rPr>
          <w:rFonts w:ascii="Times New Roman" w:hAnsi="Times New Roman"/>
          <w:szCs w:val="28"/>
        </w:rPr>
        <w:t>[</w:t>
      </w:r>
      <w:r>
        <w:rPr>
          <w:rFonts w:ascii="Times New Roman" w:hAnsi="Times New Roman"/>
          <w:i/>
          <w:iCs/>
          <w:szCs w:val="28"/>
        </w:rPr>
        <w:t>insert short factual description of plaintiff’s contention why the warning was inadequate</w:t>
      </w:r>
      <w:r w:rsidR="00205651" w:rsidRPr="00205651">
        <w:rPr>
          <w:rFonts w:ascii="Times New Roman" w:hAnsi="Times New Roman"/>
          <w:szCs w:val="28"/>
        </w:rPr>
        <w:t>]</w:t>
      </w:r>
      <w:r>
        <w:rPr>
          <w:rFonts w:ascii="Times New Roman" w:hAnsi="Times New Roman"/>
          <w:szCs w:val="28"/>
        </w:rPr>
        <w:t xml:space="preserve">.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says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did contain an adequate warning or instruction because </w:t>
      </w:r>
      <w:r w:rsidR="00205651" w:rsidRPr="00205651">
        <w:rPr>
          <w:rFonts w:ascii="Times New Roman" w:hAnsi="Times New Roman"/>
          <w:szCs w:val="28"/>
        </w:rPr>
        <w:t>[</w:t>
      </w:r>
      <w:r>
        <w:rPr>
          <w:rFonts w:ascii="Times New Roman" w:hAnsi="Times New Roman"/>
          <w:i/>
          <w:iCs/>
          <w:szCs w:val="28"/>
        </w:rPr>
        <w:t>insert short factual description</w:t>
      </w:r>
      <w:r w:rsidR="00205651" w:rsidRPr="00205651">
        <w:rPr>
          <w:rFonts w:ascii="Times New Roman" w:hAnsi="Times New Roman"/>
          <w:szCs w:val="28"/>
        </w:rPr>
        <w:t>]</w:t>
      </w:r>
      <w:r>
        <w:rPr>
          <w:rFonts w:ascii="Times New Roman" w:hAnsi="Times New Roman"/>
          <w:szCs w:val="28"/>
        </w:rPr>
        <w:t>.</w:t>
      </w:r>
    </w:p>
    <w:p w14:paraId="6A2E3B19" w14:textId="7581B99A"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The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as the manufacturer or seller of a product had a duty to provide adequate warnings or instructions about the dangers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may present.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had this duty even if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were perfectly designed and manufactured.  To decide the plaintiff’s failure to warn claim you must determine what warnings and instructions the defendant provided and whether those warnings and instructions were adequate.</w:t>
      </w:r>
    </w:p>
    <w:p w14:paraId="0A9E2E96" w14:textId="0D5BF8D1" w:rsidR="00EA315A" w:rsidRDefault="00EA315A" w:rsidP="00DD6C93">
      <w:pPr>
        <w:pStyle w:val="BodyTextIndent2"/>
      </w:pPr>
      <w:r>
        <w:t>Let’s talk about what a warning or instruction is.  Warnings or instructions may consist of statements that a product should n</w:t>
      </w:r>
      <w:r w:rsidR="00DD6C93">
        <w:t xml:space="preserve">ot be used at all under certain </w:t>
      </w:r>
      <w:r>
        <w:t xml:space="preserve">circumstances, that it should be used only in a particular way, or that it should be used with particular care.  Warnings or instructions may be in the form of words, </w:t>
      </w:r>
      <w:r w:rsidR="00AC0364">
        <w:lastRenderedPageBreak/>
        <w:t>symbols,</w:t>
      </w:r>
      <w:r>
        <w:t xml:space="preserve"> or pictures.  They must be in a form which will effectively convey the information essential to make the use of the product reasonably safe.</w:t>
      </w:r>
    </w:p>
    <w:p w14:paraId="716DF7AC" w14:textId="77777777"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To be adequate, the warning or instruction must be the kind of warning or instruction which a reasonably prudent manufacturer or seller in the same or similar circumstances would have provided to people intended to use the product.  Adequate information may be required to be given to others in the chain of distribution of the product such as from the manufacturer and the seller to the buyer, or from the manufacturer and the seller directly to the user.</w:t>
      </w:r>
      <w:r>
        <w:rPr>
          <w:rStyle w:val="FootnoteReference"/>
          <w:rFonts w:ascii="Times New Roman" w:hAnsi="Times New Roman"/>
          <w:szCs w:val="28"/>
        </w:rPr>
        <w:footnoteReference w:id="2"/>
      </w:r>
      <w:r>
        <w:rPr>
          <w:rFonts w:ascii="Times New Roman" w:hAnsi="Times New Roman"/>
          <w:szCs w:val="28"/>
        </w:rPr>
        <w:t xml:space="preserve">  An adequate warning or instruction will communicate sufficient information on the dangers of the product and how to use the product safely.  When deciding whether the information provided is adequate, you should </w:t>
      </w:r>
      <w:proofErr w:type="gramStart"/>
      <w:r>
        <w:rPr>
          <w:rFonts w:ascii="Times New Roman" w:hAnsi="Times New Roman"/>
          <w:szCs w:val="28"/>
        </w:rPr>
        <w:t>take into account</w:t>
      </w:r>
      <w:proofErr w:type="gramEnd"/>
      <w:r>
        <w:rPr>
          <w:rFonts w:ascii="Times New Roman" w:hAnsi="Times New Roman"/>
          <w:szCs w:val="28"/>
        </w:rPr>
        <w:t xml:space="preserve"> the characteristics of the people reasonably expected to use the product and ordinary common knowledge.</w:t>
      </w:r>
      <w:r>
        <w:rPr>
          <w:rStyle w:val="FootnoteReference"/>
          <w:rFonts w:ascii="Times New Roman" w:hAnsi="Times New Roman"/>
          <w:szCs w:val="28"/>
        </w:rPr>
        <w:footnoteReference w:id="3"/>
      </w:r>
    </w:p>
    <w:p w14:paraId="22C370C1" w14:textId="220618E7"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lastRenderedPageBreak/>
        <w:t xml:space="preserve">In deciding whether the warning or instruction given in this case was adequate, you must assume the </w:t>
      </w:r>
      <w:r w:rsidR="00205651" w:rsidRPr="00205651">
        <w:rPr>
          <w:rFonts w:ascii="Times New Roman" w:hAnsi="Times New Roman"/>
          <w:szCs w:val="28"/>
        </w:rPr>
        <w:t>[</w:t>
      </w:r>
      <w:r>
        <w:rPr>
          <w:rFonts w:ascii="Times New Roman" w:hAnsi="Times New Roman"/>
          <w:i/>
          <w:iCs/>
          <w:szCs w:val="28"/>
        </w:rPr>
        <w:t>Defendant Manufacturer/Seller</w:t>
      </w:r>
      <w:r w:rsidR="00205651" w:rsidRPr="00205651">
        <w:rPr>
          <w:rFonts w:ascii="Times New Roman" w:hAnsi="Times New Roman"/>
          <w:szCs w:val="28"/>
        </w:rPr>
        <w:t>]</w:t>
      </w:r>
      <w:r>
        <w:rPr>
          <w:rFonts w:ascii="Times New Roman" w:hAnsi="Times New Roman"/>
          <w:szCs w:val="28"/>
        </w:rPr>
        <w:t xml:space="preserve"> knew of the dangers of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at the time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was sold/distributed.  With that assumption you must then decide whether the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acted in a reasonable, prudent manner in marketing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without any warnings/with the particular form of warning that was provided.  </w:t>
      </w:r>
    </w:p>
    <w:p w14:paraId="3EC96BEA" w14:textId="77777777" w:rsidR="00EA315A" w:rsidRDefault="00EA315A">
      <w:pPr>
        <w:widowControl/>
        <w:tabs>
          <w:tab w:val="center" w:pos="4680"/>
          <w:tab w:val="left" w:pos="5040"/>
          <w:tab w:val="left" w:pos="5760"/>
          <w:tab w:val="left" w:pos="6480"/>
          <w:tab w:val="left" w:pos="7200"/>
          <w:tab w:val="left" w:pos="7920"/>
          <w:tab w:val="left" w:pos="8640"/>
          <w:tab w:val="left" w:pos="9360"/>
        </w:tabs>
        <w:spacing w:line="480" w:lineRule="auto"/>
        <w:jc w:val="center"/>
        <w:rPr>
          <w:rFonts w:ascii="Times New Roman" w:hAnsi="Times New Roman"/>
          <w:szCs w:val="28"/>
        </w:rPr>
      </w:pPr>
      <w:r>
        <w:rPr>
          <w:rFonts w:ascii="Times New Roman" w:hAnsi="Times New Roman"/>
          <w:b/>
          <w:bCs/>
          <w:szCs w:val="28"/>
        </w:rPr>
        <w:t>[</w:t>
      </w:r>
      <w:r w:rsidRPr="005D03C6">
        <w:rPr>
          <w:rFonts w:ascii="Times New Roman" w:hAnsi="Times New Roman"/>
          <w:b/>
          <w:bCs/>
          <w:i/>
          <w:szCs w:val="28"/>
        </w:rPr>
        <w:t>Charge when applicable:</w:t>
      </w:r>
      <w:r>
        <w:rPr>
          <w:rFonts w:ascii="Times New Roman" w:hAnsi="Times New Roman"/>
          <w:b/>
          <w:bCs/>
          <w:szCs w:val="28"/>
        </w:rPr>
        <w:t>]</w:t>
      </w:r>
    </w:p>
    <w:p w14:paraId="503DB4A4" w14:textId="48B8F1EA"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In this case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contends that </w:t>
      </w:r>
      <w:r w:rsidR="00205651" w:rsidRPr="00205651">
        <w:rPr>
          <w:rFonts w:ascii="Times New Roman" w:hAnsi="Times New Roman"/>
          <w:szCs w:val="28"/>
        </w:rPr>
        <w:t>[</w:t>
      </w:r>
      <w:r>
        <w:rPr>
          <w:rFonts w:ascii="Times New Roman" w:hAnsi="Times New Roman"/>
          <w:i/>
          <w:iCs/>
          <w:szCs w:val="28"/>
        </w:rPr>
        <w:t>describe danger</w:t>
      </w:r>
      <w:r w:rsidR="00205651" w:rsidRPr="00205651">
        <w:rPr>
          <w:rFonts w:ascii="Times New Roman" w:hAnsi="Times New Roman"/>
          <w:szCs w:val="28"/>
        </w:rPr>
        <w:t>]</w:t>
      </w:r>
      <w:r>
        <w:rPr>
          <w:rFonts w:ascii="Times New Roman" w:hAnsi="Times New Roman"/>
          <w:szCs w:val="28"/>
        </w:rPr>
        <w:t xml:space="preserve"> was not knowable at the time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was manufactured/sold. </w:t>
      </w:r>
      <w:r w:rsidR="0069616E">
        <w:rPr>
          <w:rFonts w:ascii="Times New Roman" w:hAnsi="Times New Roman"/>
          <w:szCs w:val="28"/>
        </w:rPr>
        <w:t xml:space="preserve"> </w:t>
      </w:r>
      <w:r>
        <w:rPr>
          <w:rFonts w:ascii="Times New Roman" w:hAnsi="Times New Roman"/>
          <w:szCs w:val="28"/>
        </w:rPr>
        <w:t xml:space="preserve">If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proves that the danger in question was not knowable by it at the time of manufacture or sale, then it had no duty to warn of the danger and cannot be held liable for failure to do so.</w:t>
      </w:r>
      <w:r>
        <w:rPr>
          <w:rStyle w:val="FootnoteReference"/>
          <w:rFonts w:ascii="Times New Roman" w:hAnsi="Times New Roman"/>
          <w:szCs w:val="28"/>
        </w:rPr>
        <w:footnoteReference w:id="4"/>
      </w:r>
      <w:r>
        <w:rPr>
          <w:rFonts w:ascii="Times New Roman" w:hAnsi="Times New Roman"/>
          <w:szCs w:val="28"/>
        </w:rPr>
        <w:t xml:space="preserve"> </w:t>
      </w:r>
      <w:r w:rsidR="0069616E">
        <w:rPr>
          <w:rFonts w:ascii="Times New Roman" w:hAnsi="Times New Roman"/>
          <w:szCs w:val="28"/>
        </w:rPr>
        <w:t xml:space="preserve"> </w:t>
      </w:r>
      <w:r>
        <w:rPr>
          <w:rFonts w:ascii="Times New Roman" w:hAnsi="Times New Roman"/>
          <w:szCs w:val="28"/>
        </w:rPr>
        <w:t xml:space="preserve">In evaluating this defense of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you may consider evidence relating to </w:t>
      </w:r>
      <w:r w:rsidR="00205651" w:rsidRPr="00205651">
        <w:rPr>
          <w:rFonts w:ascii="Times New Roman" w:hAnsi="Times New Roman"/>
          <w:szCs w:val="28"/>
        </w:rPr>
        <w:t>[</w:t>
      </w:r>
      <w:r>
        <w:rPr>
          <w:rFonts w:ascii="Times New Roman" w:hAnsi="Times New Roman"/>
          <w:i/>
          <w:iCs/>
          <w:szCs w:val="28"/>
        </w:rPr>
        <w:t>Defendant</w:t>
      </w:r>
      <w:r w:rsidR="007237F8">
        <w:rPr>
          <w:rFonts w:ascii="Times New Roman" w:hAnsi="Times New Roman"/>
          <w:i/>
          <w:iCs/>
          <w:szCs w:val="28"/>
        </w:rPr>
        <w:t>’s</w:t>
      </w:r>
      <w:r w:rsidR="00205651" w:rsidRPr="00205651">
        <w:rPr>
          <w:rFonts w:ascii="Times New Roman" w:hAnsi="Times New Roman"/>
          <w:szCs w:val="28"/>
        </w:rPr>
        <w:t>]</w:t>
      </w:r>
      <w:r>
        <w:rPr>
          <w:rFonts w:ascii="Times New Roman" w:hAnsi="Times New Roman"/>
          <w:i/>
          <w:iCs/>
          <w:szCs w:val="28"/>
        </w:rPr>
        <w:t xml:space="preserve"> </w:t>
      </w:r>
      <w:r>
        <w:rPr>
          <w:rFonts w:ascii="Times New Roman" w:hAnsi="Times New Roman"/>
          <w:szCs w:val="28"/>
        </w:rPr>
        <w:t xml:space="preserve">knowledge of the danger of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i/>
          <w:iCs/>
          <w:szCs w:val="28"/>
        </w:rPr>
        <w:t xml:space="preserve">.  </w:t>
      </w:r>
      <w:r>
        <w:rPr>
          <w:rFonts w:ascii="Times New Roman" w:hAnsi="Times New Roman"/>
          <w:szCs w:val="28"/>
        </w:rPr>
        <w:t xml:space="preserve">A duty to warn arises if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(the manufacturer/seller) actually knew or should have known of the need to issue a particular warning.  </w:t>
      </w:r>
    </w:p>
    <w:p w14:paraId="6A47E01A" w14:textId="69C24F74"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In determining what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should have known, you must understand that the law requires a manufacturer/seller to keep reasonably familiar with and to know reliable information generally available or reasonably obtainable in the </w:t>
      </w:r>
      <w:r>
        <w:rPr>
          <w:rFonts w:ascii="Times New Roman" w:hAnsi="Times New Roman"/>
          <w:szCs w:val="28"/>
        </w:rPr>
        <w:lastRenderedPageBreak/>
        <w:t xml:space="preserve">industry.  In that regard,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is deemed to be an expert in its field.</w:t>
      </w:r>
      <w:r>
        <w:rPr>
          <w:rStyle w:val="FootnoteReference"/>
          <w:rFonts w:ascii="Times New Roman" w:hAnsi="Times New Roman"/>
          <w:szCs w:val="28"/>
        </w:rPr>
        <w:footnoteReference w:id="5"/>
      </w:r>
      <w:r>
        <w:rPr>
          <w:rFonts w:ascii="Times New Roman" w:hAnsi="Times New Roman"/>
          <w:szCs w:val="28"/>
        </w:rPr>
        <w:t xml:space="preserve">  This information may come from experts and literature in the field.  Moreover, information from other sources such as complaints from users, </w:t>
      </w:r>
      <w:r w:rsidR="00AC0364">
        <w:rPr>
          <w:rFonts w:ascii="Times New Roman" w:hAnsi="Times New Roman"/>
          <w:szCs w:val="28"/>
        </w:rPr>
        <w:t>sellers,</w:t>
      </w:r>
      <w:r>
        <w:rPr>
          <w:rFonts w:ascii="Times New Roman" w:hAnsi="Times New Roman"/>
          <w:szCs w:val="28"/>
        </w:rPr>
        <w:t xml:space="preserve"> or distributors of an untoward effect of a product may be sufficient to require an appropriate warning.</w:t>
      </w:r>
    </w:p>
    <w:p w14:paraId="626D2E31" w14:textId="77777777" w:rsidR="00EA315A" w:rsidRDefault="00EA315A" w:rsidP="00AC0364">
      <w:pPr>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center"/>
        <w:rPr>
          <w:rFonts w:ascii="Times New Roman" w:hAnsi="Times New Roman"/>
          <w:b/>
          <w:bCs/>
          <w:szCs w:val="28"/>
        </w:rPr>
      </w:pPr>
      <w:r>
        <w:rPr>
          <w:rFonts w:ascii="Times New Roman" w:hAnsi="Times New Roman"/>
          <w:b/>
          <w:bCs/>
          <w:szCs w:val="28"/>
        </w:rPr>
        <w:t>[</w:t>
      </w:r>
      <w:r w:rsidRPr="005D03C6">
        <w:rPr>
          <w:rFonts w:ascii="Times New Roman" w:hAnsi="Times New Roman"/>
          <w:b/>
          <w:bCs/>
          <w:i/>
          <w:szCs w:val="28"/>
        </w:rPr>
        <w:t>Charge when applicable:</w:t>
      </w:r>
      <w:r>
        <w:rPr>
          <w:rFonts w:ascii="Times New Roman" w:hAnsi="Times New Roman"/>
          <w:b/>
          <w:bCs/>
          <w:szCs w:val="28"/>
        </w:rPr>
        <w:t>]</w:t>
      </w:r>
    </w:p>
    <w:p w14:paraId="11920B75" w14:textId="2024A9E2"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A manufacturer or seller such as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may also have responsibility to warn purchasers and consumers of dangers discovered after the product was sold/distributed.  This duty arises when subsequently obtained knowledge, both actual or constructive, was available either at the time of distribution or in sufficient time before the accident/injury so that an effective and reasonable supplemental warning could have been given.  In this regard it is the defendant who must prove that the information about the danger was not reasonably available or obtainable either at the time of distribution or in sufficient time before the accident/injury.</w:t>
      </w:r>
      <w:r>
        <w:rPr>
          <w:rStyle w:val="FootnoteReference"/>
          <w:rFonts w:ascii="Times New Roman" w:hAnsi="Times New Roman"/>
          <w:szCs w:val="28"/>
        </w:rPr>
        <w:footnoteReference w:id="6"/>
      </w:r>
    </w:p>
    <w:p w14:paraId="2ACE526F" w14:textId="48DF4069"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To establish a claim of failure to warn,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must prove all of the following elements by a preponderance (greater weight) of the credible evidence:</w:t>
      </w:r>
    </w:p>
    <w:p w14:paraId="483D3860" w14:textId="7EDF77D3" w:rsidR="00EA315A" w:rsidRDefault="00EA315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720" w:hanging="720"/>
        <w:jc w:val="both"/>
        <w:rPr>
          <w:rFonts w:ascii="Times New Roman" w:hAnsi="Times New Roman"/>
          <w:szCs w:val="28"/>
        </w:rPr>
      </w:pPr>
      <w:r>
        <w:rPr>
          <w:rFonts w:ascii="Times New Roman" w:hAnsi="Times New Roman"/>
          <w:b/>
          <w:bCs/>
          <w:szCs w:val="28"/>
        </w:rPr>
        <w:t>l.</w:t>
      </w:r>
      <w:r>
        <w:rPr>
          <w:rFonts w:ascii="Times New Roman" w:hAnsi="Times New Roman"/>
          <w:szCs w:val="28"/>
        </w:rPr>
        <w:tab/>
        <w:t xml:space="preserve">That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failed to contain an adequate warning/instruction. </w:t>
      </w:r>
    </w:p>
    <w:p w14:paraId="337789F8" w14:textId="19EC8A78" w:rsidR="00EA315A" w:rsidRDefault="00EA315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Pr>
          <w:rFonts w:ascii="Times New Roman" w:hAnsi="Times New Roman"/>
          <w:b/>
          <w:bCs/>
          <w:szCs w:val="28"/>
        </w:rPr>
        <w:lastRenderedPageBreak/>
        <w:t>2.</w:t>
      </w:r>
      <w:r>
        <w:rPr>
          <w:rFonts w:ascii="Times New Roman" w:hAnsi="Times New Roman"/>
          <w:szCs w:val="28"/>
        </w:rPr>
        <w:tab/>
        <w:t xml:space="preserve">That the failure to adequately warn/instruct existed before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left the control of the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w:t>
      </w:r>
    </w:p>
    <w:p w14:paraId="0BF4C531" w14:textId="77777777" w:rsidR="004D4CF1" w:rsidRDefault="004D4CF1">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p>
    <w:p w14:paraId="483D90F6" w14:textId="344CD32F" w:rsidR="00EA315A" w:rsidRDefault="00EA315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Pr>
          <w:rFonts w:ascii="Times New Roman" w:hAnsi="Times New Roman"/>
          <w:b/>
          <w:bCs/>
          <w:szCs w:val="28"/>
        </w:rPr>
        <w:t>3.</w:t>
      </w:r>
      <w:r>
        <w:rPr>
          <w:rFonts w:ascii="Times New Roman" w:hAnsi="Times New Roman"/>
          <w:szCs w:val="28"/>
        </w:rPr>
        <w:tab/>
      </w:r>
      <w:r w:rsidR="00205651" w:rsidRPr="00205651">
        <w:rPr>
          <w:rFonts w:ascii="Times New Roman" w:hAnsi="Times New Roman"/>
          <w:b/>
          <w:bCs/>
          <w:szCs w:val="28"/>
        </w:rPr>
        <w:t>[</w:t>
      </w:r>
      <w:r>
        <w:rPr>
          <w:rFonts w:ascii="Times New Roman" w:hAnsi="Times New Roman"/>
          <w:b/>
          <w:bCs/>
          <w:i/>
          <w:iCs/>
          <w:szCs w:val="28"/>
        </w:rPr>
        <w:t>Use only when misuse or intentional alteration is an issue and use only applicable portion.</w:t>
      </w:r>
      <w:r w:rsidR="00205651" w:rsidRPr="00205651">
        <w:rPr>
          <w:rFonts w:ascii="Times New Roman" w:hAnsi="Times New Roman"/>
          <w:b/>
          <w:bCs/>
          <w:szCs w:val="28"/>
        </w:rPr>
        <w:t>]</w:t>
      </w:r>
      <w:r>
        <w:rPr>
          <w:rFonts w:ascii="Times New Roman" w:hAnsi="Times New Roman"/>
          <w:szCs w:val="28"/>
        </w:rPr>
        <w:t xml:space="preserve">  That when the accident happened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was not being misused, or it had not been substantially altered in a way that was not reasonably foreseeable.</w:t>
      </w:r>
    </w:p>
    <w:p w14:paraId="002E86DB" w14:textId="77777777" w:rsidR="00AC0364" w:rsidRDefault="00AC0364">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p>
    <w:p w14:paraId="7B053620" w14:textId="5E845FD8" w:rsidR="00EA315A" w:rsidRDefault="00205651">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sidRPr="00205651">
        <w:rPr>
          <w:rFonts w:ascii="Times New Roman" w:hAnsi="Times New Roman"/>
          <w:szCs w:val="28"/>
        </w:rPr>
        <w:t>[</w:t>
      </w:r>
      <w:r w:rsidR="00EA315A">
        <w:rPr>
          <w:rFonts w:ascii="Times New Roman" w:hAnsi="Times New Roman"/>
          <w:i/>
          <w:iCs/>
          <w:szCs w:val="28"/>
        </w:rPr>
        <w:t>Plaintiff</w:t>
      </w:r>
      <w:r w:rsidRPr="00205651">
        <w:rPr>
          <w:rFonts w:ascii="Times New Roman" w:hAnsi="Times New Roman"/>
          <w:szCs w:val="28"/>
        </w:rPr>
        <w:t>]</w:t>
      </w:r>
      <w:r w:rsidR="00EA315A">
        <w:rPr>
          <w:rFonts w:ascii="Times New Roman" w:hAnsi="Times New Roman"/>
          <w:szCs w:val="28"/>
        </w:rPr>
        <w:t xml:space="preserve"> must prove that at the time of the accident the </w:t>
      </w:r>
      <w:r w:rsidRPr="00205651">
        <w:rPr>
          <w:rFonts w:ascii="Times New Roman" w:hAnsi="Times New Roman"/>
          <w:szCs w:val="28"/>
        </w:rPr>
        <w:t>[</w:t>
      </w:r>
      <w:r w:rsidR="00EA315A">
        <w:rPr>
          <w:rFonts w:ascii="Times New Roman" w:hAnsi="Times New Roman"/>
          <w:i/>
          <w:iCs/>
          <w:szCs w:val="28"/>
        </w:rPr>
        <w:t>Product</w:t>
      </w:r>
      <w:r w:rsidRPr="00205651">
        <w:rPr>
          <w:rFonts w:ascii="Times New Roman" w:hAnsi="Times New Roman"/>
          <w:szCs w:val="28"/>
        </w:rPr>
        <w:t>]</w:t>
      </w:r>
      <w:r w:rsidR="00EA315A">
        <w:rPr>
          <w:rFonts w:ascii="Times New Roman" w:hAnsi="Times New Roman"/>
          <w:szCs w:val="28"/>
        </w:rPr>
        <w:t xml:space="preserve"> was being used properly for its intended purposes or for an intended or reasonably foreseeable purpose.  To prove this, plaintiff must show that the product was not being misused in a way that was neither intended nor was reasonably foreseeable.  In this case, the </w:t>
      </w:r>
      <w:r w:rsidRPr="00205651">
        <w:rPr>
          <w:rFonts w:ascii="Times New Roman" w:hAnsi="Times New Roman"/>
          <w:szCs w:val="28"/>
        </w:rPr>
        <w:t>[</w:t>
      </w:r>
      <w:r w:rsidR="00EA315A">
        <w:rPr>
          <w:rFonts w:ascii="Times New Roman" w:hAnsi="Times New Roman"/>
          <w:i/>
          <w:iCs/>
          <w:szCs w:val="28"/>
        </w:rPr>
        <w:t>Defendant</w:t>
      </w:r>
      <w:r w:rsidRPr="00205651">
        <w:rPr>
          <w:rFonts w:ascii="Times New Roman" w:hAnsi="Times New Roman"/>
          <w:szCs w:val="28"/>
        </w:rPr>
        <w:t>]</w:t>
      </w:r>
      <w:r w:rsidR="00EA315A">
        <w:rPr>
          <w:rFonts w:ascii="Times New Roman" w:hAnsi="Times New Roman"/>
          <w:szCs w:val="28"/>
        </w:rPr>
        <w:t xml:space="preserve"> contends that at the time of the accident the </w:t>
      </w:r>
      <w:r w:rsidRPr="00205651">
        <w:rPr>
          <w:rFonts w:ascii="Times New Roman" w:hAnsi="Times New Roman"/>
          <w:szCs w:val="28"/>
        </w:rPr>
        <w:t>[</w:t>
      </w:r>
      <w:r w:rsidR="00EA315A">
        <w:rPr>
          <w:rFonts w:ascii="Times New Roman" w:hAnsi="Times New Roman"/>
          <w:i/>
          <w:iCs/>
          <w:szCs w:val="28"/>
        </w:rPr>
        <w:t>Product</w:t>
      </w:r>
      <w:r w:rsidRPr="00205651">
        <w:rPr>
          <w:rFonts w:ascii="Times New Roman" w:hAnsi="Times New Roman"/>
          <w:szCs w:val="28"/>
        </w:rPr>
        <w:t>]</w:t>
      </w:r>
      <w:r w:rsidR="00EA315A">
        <w:rPr>
          <w:rFonts w:ascii="Times New Roman" w:hAnsi="Times New Roman"/>
          <w:szCs w:val="28"/>
        </w:rPr>
        <w:t xml:space="preserve"> was being misused.  </w:t>
      </w:r>
      <w:r w:rsidRPr="00205651">
        <w:rPr>
          <w:rFonts w:ascii="Times New Roman" w:hAnsi="Times New Roman"/>
          <w:szCs w:val="28"/>
        </w:rPr>
        <w:t>[</w:t>
      </w:r>
      <w:r w:rsidR="00EA315A">
        <w:rPr>
          <w:rFonts w:ascii="Times New Roman" w:hAnsi="Times New Roman"/>
          <w:i/>
          <w:iCs/>
          <w:szCs w:val="28"/>
        </w:rPr>
        <w:t>Set forth a brief factual description of this dispute.</w:t>
      </w:r>
      <w:r w:rsidRPr="00205651">
        <w:rPr>
          <w:rFonts w:ascii="Times New Roman" w:hAnsi="Times New Roman"/>
          <w:szCs w:val="28"/>
        </w:rPr>
        <w:t>]</w:t>
      </w:r>
    </w:p>
    <w:p w14:paraId="11FA7286" w14:textId="2B5175A1" w:rsidR="00EA315A" w:rsidRDefault="00205651">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sidRPr="00205651">
        <w:rPr>
          <w:rFonts w:ascii="Times New Roman" w:hAnsi="Times New Roman"/>
          <w:szCs w:val="28"/>
        </w:rPr>
        <w:t>[</w:t>
      </w:r>
      <w:r w:rsidR="00EA315A">
        <w:rPr>
          <w:rFonts w:ascii="Times New Roman" w:hAnsi="Times New Roman"/>
          <w:i/>
          <w:iCs/>
          <w:szCs w:val="28"/>
        </w:rPr>
        <w:t>Plaintiff</w:t>
      </w:r>
      <w:r w:rsidRPr="00205651">
        <w:rPr>
          <w:rFonts w:ascii="Times New Roman" w:hAnsi="Times New Roman"/>
          <w:szCs w:val="28"/>
        </w:rPr>
        <w:t>]</w:t>
      </w:r>
      <w:r w:rsidR="00EA315A">
        <w:rPr>
          <w:rFonts w:ascii="Times New Roman" w:hAnsi="Times New Roman"/>
          <w:szCs w:val="28"/>
        </w:rPr>
        <w:t xml:space="preserve"> must also show that when </w:t>
      </w:r>
      <w:r w:rsidRPr="00205651">
        <w:rPr>
          <w:rFonts w:ascii="Times New Roman" w:hAnsi="Times New Roman"/>
          <w:szCs w:val="28"/>
        </w:rPr>
        <w:t>[</w:t>
      </w:r>
      <w:r w:rsidR="00EF3DC5">
        <w:rPr>
          <w:rFonts w:ascii="Times New Roman" w:hAnsi="Times New Roman"/>
          <w:i/>
          <w:iCs/>
          <w:szCs w:val="28"/>
        </w:rPr>
        <w:t>Plaintiff</w:t>
      </w:r>
      <w:r w:rsidRPr="00205651">
        <w:rPr>
          <w:rFonts w:ascii="Times New Roman" w:hAnsi="Times New Roman"/>
          <w:szCs w:val="28"/>
        </w:rPr>
        <w:t>]</w:t>
      </w:r>
      <w:r w:rsidR="00EA315A">
        <w:rPr>
          <w:rFonts w:ascii="Times New Roman" w:hAnsi="Times New Roman"/>
          <w:szCs w:val="28"/>
        </w:rPr>
        <w:t xml:space="preserve"> used the </w:t>
      </w:r>
      <w:r w:rsidRPr="00205651">
        <w:rPr>
          <w:rFonts w:ascii="Times New Roman" w:hAnsi="Times New Roman"/>
          <w:szCs w:val="28"/>
        </w:rPr>
        <w:t>[</w:t>
      </w:r>
      <w:r w:rsidR="00EA315A">
        <w:rPr>
          <w:rFonts w:ascii="Times New Roman" w:hAnsi="Times New Roman"/>
          <w:i/>
          <w:iCs/>
          <w:szCs w:val="28"/>
        </w:rPr>
        <w:t>Product</w:t>
      </w:r>
      <w:r w:rsidRPr="00205651">
        <w:rPr>
          <w:rFonts w:ascii="Times New Roman" w:hAnsi="Times New Roman"/>
          <w:szCs w:val="28"/>
        </w:rPr>
        <w:t>]</w:t>
      </w:r>
      <w:r w:rsidR="00EA315A">
        <w:rPr>
          <w:rFonts w:ascii="Times New Roman" w:hAnsi="Times New Roman"/>
          <w:szCs w:val="28"/>
        </w:rPr>
        <w:t>, it had not been substa</w:t>
      </w:r>
      <w:r w:rsidR="00DC7161">
        <w:rPr>
          <w:rFonts w:ascii="Times New Roman" w:hAnsi="Times New Roman"/>
          <w:szCs w:val="28"/>
        </w:rPr>
        <w:t>ntially altered since it left [</w:t>
      </w:r>
      <w:r w:rsidR="00DC7161" w:rsidRPr="00DC7161">
        <w:rPr>
          <w:rFonts w:ascii="Times New Roman" w:hAnsi="Times New Roman"/>
          <w:i/>
          <w:szCs w:val="28"/>
        </w:rPr>
        <w:t>D</w:t>
      </w:r>
      <w:r w:rsidR="00EA315A" w:rsidRPr="00DC7161">
        <w:rPr>
          <w:rFonts w:ascii="Times New Roman" w:hAnsi="Times New Roman"/>
          <w:i/>
          <w:szCs w:val="28"/>
        </w:rPr>
        <w:t>efendant’s</w:t>
      </w:r>
      <w:r w:rsidR="00DC7161">
        <w:rPr>
          <w:rFonts w:ascii="Times New Roman" w:hAnsi="Times New Roman"/>
          <w:szCs w:val="28"/>
        </w:rPr>
        <w:t>]</w:t>
      </w:r>
      <w:r w:rsidR="00EA315A">
        <w:rPr>
          <w:rFonts w:ascii="Times New Roman" w:hAnsi="Times New Roman"/>
          <w:szCs w:val="28"/>
        </w:rPr>
        <w:t xml:space="preserve"> control.  A substantial alteration is a change or modification made to the product after it was manufactured or sold which both alters the design or function of the product and has a significant or meaningful effect on the product’s safety when used.</w:t>
      </w:r>
      <w:r w:rsidR="00EA315A">
        <w:rPr>
          <w:rStyle w:val="FootnoteReference"/>
          <w:rFonts w:ascii="Times New Roman" w:hAnsi="Times New Roman"/>
          <w:szCs w:val="28"/>
        </w:rPr>
        <w:footnoteReference w:id="7"/>
      </w:r>
      <w:r w:rsidR="00EA315A">
        <w:rPr>
          <w:rFonts w:ascii="Times New Roman" w:hAnsi="Times New Roman"/>
          <w:szCs w:val="28"/>
        </w:rPr>
        <w:t xml:space="preserve">  In this case the defendant contends that the </w:t>
      </w:r>
      <w:r w:rsidRPr="00205651">
        <w:rPr>
          <w:rFonts w:ascii="Times New Roman" w:hAnsi="Times New Roman"/>
          <w:szCs w:val="28"/>
        </w:rPr>
        <w:t>[</w:t>
      </w:r>
      <w:r w:rsidR="00EA315A">
        <w:rPr>
          <w:rFonts w:ascii="Times New Roman" w:hAnsi="Times New Roman"/>
          <w:i/>
          <w:iCs/>
          <w:szCs w:val="28"/>
        </w:rPr>
        <w:t>Product</w:t>
      </w:r>
      <w:r w:rsidRPr="00205651">
        <w:rPr>
          <w:rFonts w:ascii="Times New Roman" w:hAnsi="Times New Roman"/>
          <w:szCs w:val="28"/>
        </w:rPr>
        <w:t>]</w:t>
      </w:r>
      <w:r w:rsidR="00DC7161">
        <w:rPr>
          <w:rFonts w:ascii="Times New Roman" w:hAnsi="Times New Roman"/>
          <w:szCs w:val="28"/>
        </w:rPr>
        <w:t xml:space="preserve"> was substantially altered.  </w:t>
      </w:r>
      <w:r w:rsidRPr="00205651">
        <w:rPr>
          <w:rFonts w:ascii="Times New Roman" w:hAnsi="Times New Roman"/>
          <w:szCs w:val="28"/>
        </w:rPr>
        <w:t>[</w:t>
      </w:r>
      <w:r w:rsidR="00EA315A" w:rsidRPr="00DC7161">
        <w:rPr>
          <w:rFonts w:ascii="Times New Roman" w:hAnsi="Times New Roman"/>
          <w:i/>
          <w:szCs w:val="28"/>
        </w:rPr>
        <w:t>Set forth a brief factual description of this dispute.</w:t>
      </w:r>
      <w:r w:rsidRPr="00205651">
        <w:rPr>
          <w:rFonts w:ascii="Times New Roman" w:hAnsi="Times New Roman"/>
          <w:szCs w:val="28"/>
        </w:rPr>
        <w:t>]</w:t>
      </w:r>
      <w:r w:rsidR="00EA315A" w:rsidRPr="00DC7161">
        <w:rPr>
          <w:rFonts w:ascii="Times New Roman" w:hAnsi="Times New Roman"/>
          <w:i/>
          <w:szCs w:val="28"/>
        </w:rPr>
        <w:t xml:space="preserve"> </w:t>
      </w:r>
      <w:r w:rsidR="00EA315A">
        <w:rPr>
          <w:rFonts w:ascii="Times New Roman" w:hAnsi="Times New Roman"/>
          <w:szCs w:val="28"/>
        </w:rPr>
        <w:t xml:space="preserve"> </w:t>
      </w:r>
    </w:p>
    <w:p w14:paraId="50082CC3" w14:textId="65AC4F7C"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lastRenderedPageBreak/>
        <w:t xml:space="preserve">In considering this issue, you must determine whether there has been a subsequent misuse/abnormal use or substantial alteration to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If you find that to exist, you must determine whether the misuse/abnormal use or substantial alteration was reasonably foreseeable at the time the product left the control of the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w:t>
      </w:r>
    </w:p>
    <w:p w14:paraId="64AA0383" w14:textId="19FE8DF9"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Reasonably foreseeable does not mean that the particular misuse/abnormal use or substantial alteration was actually foreseen or could have been actually foreseen by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at the time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left </w:t>
      </w:r>
      <w:r w:rsidR="00205651" w:rsidRPr="00205651">
        <w:rPr>
          <w:rFonts w:ascii="Times New Roman" w:hAnsi="Times New Roman"/>
          <w:szCs w:val="28"/>
        </w:rPr>
        <w:t>[</w:t>
      </w:r>
      <w:r w:rsidR="00205651">
        <w:rPr>
          <w:rFonts w:ascii="Times New Roman" w:hAnsi="Times New Roman"/>
          <w:i/>
          <w:iCs/>
          <w:szCs w:val="28"/>
        </w:rPr>
        <w:t>Defendant’s</w:t>
      </w:r>
      <w:r w:rsidR="00205651" w:rsidRPr="00205651">
        <w:rPr>
          <w:rFonts w:ascii="Times New Roman" w:hAnsi="Times New Roman"/>
          <w:szCs w:val="28"/>
        </w:rPr>
        <w:t>]</w:t>
      </w:r>
      <w:r w:rsidR="00205651">
        <w:rPr>
          <w:rFonts w:ascii="Times New Roman" w:hAnsi="Times New Roman"/>
          <w:i/>
          <w:iCs/>
          <w:szCs w:val="28"/>
        </w:rPr>
        <w:t xml:space="preserve"> </w:t>
      </w:r>
      <w:r>
        <w:rPr>
          <w:rFonts w:ascii="Times New Roman" w:hAnsi="Times New Roman"/>
          <w:szCs w:val="28"/>
        </w:rPr>
        <w:t>control.</w:t>
      </w:r>
    </w:p>
    <w:p w14:paraId="6955AE26" w14:textId="79F25BD8"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This is a test of objective foreseeability.  You must consider the general experience within the industry when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was manufactured, </w:t>
      </w:r>
      <w:proofErr w:type="gramStart"/>
      <w:r>
        <w:rPr>
          <w:rFonts w:ascii="Times New Roman" w:hAnsi="Times New Roman"/>
          <w:szCs w:val="28"/>
        </w:rPr>
        <w:t>sold</w:t>
      </w:r>
      <w:proofErr w:type="gramEnd"/>
      <w:r>
        <w:rPr>
          <w:rFonts w:ascii="Times New Roman" w:hAnsi="Times New Roman"/>
          <w:szCs w:val="28"/>
        </w:rPr>
        <w:t xml:space="preserve"> or distributed.  Then decide whether a reasonably careful manufacturer, seller or distributor could have anticipated the misuse/abnormal use or substantial alteration of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w:t>
      </w:r>
      <w:r>
        <w:rPr>
          <w:rStyle w:val="FootnoteReference"/>
          <w:rFonts w:ascii="Times New Roman" w:hAnsi="Times New Roman"/>
          <w:szCs w:val="28"/>
        </w:rPr>
        <w:footnoteReference w:id="8"/>
      </w:r>
      <w:r>
        <w:rPr>
          <w:rFonts w:ascii="Times New Roman" w:hAnsi="Times New Roman"/>
          <w:szCs w:val="28"/>
        </w:rPr>
        <w:t xml:space="preserve">  If the alteration reasonably could have been anticipated, and if the alteration made the product not reasonably safe, the defendant is still responsible.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has the burden to show that a typical manufacturer or seller of the product could foresee that the product would </w:t>
      </w:r>
      <w:r w:rsidR="004D4CF1">
        <w:rPr>
          <w:rFonts w:ascii="Times New Roman" w:hAnsi="Times New Roman"/>
          <w:szCs w:val="28"/>
        </w:rPr>
        <w:t xml:space="preserve">be </w:t>
      </w:r>
      <w:r>
        <w:rPr>
          <w:rFonts w:ascii="Times New Roman" w:hAnsi="Times New Roman"/>
          <w:szCs w:val="28"/>
        </w:rPr>
        <w:t>altered or that despite the alteration the original defect was nonetheless a cause of the injury.</w:t>
      </w:r>
      <w:r>
        <w:rPr>
          <w:rStyle w:val="FootnoteReference"/>
          <w:rFonts w:ascii="Times New Roman" w:hAnsi="Times New Roman"/>
          <w:szCs w:val="28"/>
        </w:rPr>
        <w:footnoteReference w:id="9"/>
      </w:r>
    </w:p>
    <w:p w14:paraId="1706E7C9" w14:textId="047EAEA5" w:rsidR="00EA315A" w:rsidRDefault="00EA315A" w:rsidP="0028691E">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Pr>
          <w:rFonts w:ascii="Times New Roman" w:hAnsi="Times New Roman"/>
          <w:b/>
          <w:bCs/>
          <w:szCs w:val="28"/>
        </w:rPr>
        <w:lastRenderedPageBreak/>
        <w:t>4.</w:t>
      </w:r>
      <w:r>
        <w:rPr>
          <w:rFonts w:ascii="Times New Roman" w:hAnsi="Times New Roman"/>
          <w:szCs w:val="28"/>
        </w:rPr>
        <w:tab/>
        <w:t xml:space="preserve">That the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was a direct or reasonably foreseeable user, or a person who might reasonably be expected to come in contact with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w:t>
      </w:r>
      <w:r>
        <w:rPr>
          <w:rStyle w:val="FootnoteReference"/>
          <w:rFonts w:ascii="Times New Roman" w:hAnsi="Times New Roman"/>
          <w:szCs w:val="28"/>
        </w:rPr>
        <w:footnoteReference w:id="10"/>
      </w:r>
      <w:r>
        <w:rPr>
          <w:rFonts w:ascii="Times New Roman" w:hAnsi="Times New Roman"/>
          <w:szCs w:val="28"/>
        </w:rPr>
        <w:t xml:space="preserve">  </w:t>
      </w:r>
    </w:p>
    <w:p w14:paraId="7EF6C6C8" w14:textId="77777777" w:rsidR="0028691E" w:rsidRDefault="0028691E" w:rsidP="0028691E">
      <w:pPr>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810" w:hanging="810"/>
        <w:jc w:val="both"/>
        <w:rPr>
          <w:rFonts w:ascii="Times New Roman" w:hAnsi="Times New Roman"/>
          <w:b/>
          <w:bCs/>
          <w:szCs w:val="28"/>
        </w:rPr>
      </w:pPr>
    </w:p>
    <w:p w14:paraId="5C34F2C5" w14:textId="686253ED" w:rsidR="003B07CB" w:rsidRDefault="00EA315A" w:rsidP="0028691E">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Pr>
          <w:rFonts w:ascii="Times New Roman" w:hAnsi="Times New Roman"/>
          <w:b/>
          <w:bCs/>
          <w:szCs w:val="28"/>
        </w:rPr>
        <w:t>5.</w:t>
      </w:r>
      <w:r>
        <w:rPr>
          <w:rFonts w:ascii="Times New Roman" w:hAnsi="Times New Roman"/>
          <w:szCs w:val="28"/>
        </w:rPr>
        <w:tab/>
        <w:t xml:space="preserve">That the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would have followed an adequate warning/instruction if it had been provided.</w:t>
      </w:r>
      <w:r>
        <w:rPr>
          <w:rStyle w:val="FootnoteReference"/>
          <w:rFonts w:ascii="Times New Roman" w:hAnsi="Times New Roman"/>
          <w:szCs w:val="28"/>
        </w:rPr>
        <w:footnoteReference w:id="11"/>
      </w:r>
    </w:p>
    <w:p w14:paraId="7652632E" w14:textId="4015AD14" w:rsidR="00EA315A" w:rsidRDefault="00EA315A" w:rsidP="0028691E">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p>
    <w:p w14:paraId="51B3BFF7" w14:textId="77777777" w:rsidR="00EA315A" w:rsidRDefault="00EA315A" w:rsidP="005A44D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80"/>
        <w:rPr>
          <w:rFonts w:ascii="Times New Roman" w:hAnsi="Times New Roman"/>
          <w:b/>
          <w:bCs/>
          <w:szCs w:val="28"/>
        </w:rPr>
      </w:pPr>
      <w:r>
        <w:rPr>
          <w:rFonts w:ascii="Times New Roman" w:hAnsi="Times New Roman"/>
          <w:b/>
          <w:bCs/>
          <w:szCs w:val="28"/>
        </w:rPr>
        <w:t>[</w:t>
      </w:r>
      <w:r>
        <w:rPr>
          <w:rFonts w:ascii="Times New Roman" w:hAnsi="Times New Roman"/>
          <w:b/>
          <w:bCs/>
          <w:i/>
          <w:iCs/>
          <w:szCs w:val="28"/>
        </w:rPr>
        <w:t xml:space="preserve">When defendant offers </w:t>
      </w:r>
      <w:r w:rsidRPr="004D4CF1">
        <w:rPr>
          <w:rFonts w:ascii="Times New Roman" w:hAnsi="Times New Roman"/>
          <w:b/>
          <w:bCs/>
          <w:i/>
          <w:iCs/>
          <w:szCs w:val="28"/>
          <w:u w:val="single"/>
        </w:rPr>
        <w:t>no</w:t>
      </w:r>
      <w:r>
        <w:rPr>
          <w:rFonts w:ascii="Times New Roman" w:hAnsi="Times New Roman"/>
          <w:b/>
          <w:bCs/>
          <w:i/>
          <w:iCs/>
          <w:szCs w:val="28"/>
        </w:rPr>
        <w:t xml:space="preserve"> </w:t>
      </w:r>
      <w:r w:rsidRPr="005A44D0">
        <w:rPr>
          <w:rFonts w:ascii="Times New Roman" w:hAnsi="Times New Roman"/>
          <w:b/>
          <w:bCs/>
          <w:i/>
          <w:iCs/>
          <w:szCs w:val="28"/>
          <w:u w:val="single"/>
        </w:rPr>
        <w:t>evidence</w:t>
      </w:r>
      <w:r>
        <w:rPr>
          <w:rFonts w:ascii="Times New Roman" w:hAnsi="Times New Roman"/>
          <w:b/>
          <w:bCs/>
          <w:i/>
          <w:iCs/>
          <w:szCs w:val="28"/>
        </w:rPr>
        <w:t xml:space="preserve"> or </w:t>
      </w:r>
      <w:r w:rsidRPr="005A44D0">
        <w:rPr>
          <w:rFonts w:ascii="Times New Roman" w:hAnsi="Times New Roman"/>
          <w:b/>
          <w:bCs/>
          <w:i/>
          <w:iCs/>
          <w:szCs w:val="28"/>
          <w:u w:val="single"/>
        </w:rPr>
        <w:t>insufficient</w:t>
      </w:r>
      <w:r w:rsidRPr="005A44D0">
        <w:rPr>
          <w:rFonts w:ascii="Times New Roman" w:hAnsi="Times New Roman"/>
          <w:b/>
          <w:bCs/>
          <w:i/>
          <w:iCs/>
          <w:szCs w:val="28"/>
        </w:rPr>
        <w:t xml:space="preserve"> </w:t>
      </w:r>
      <w:r w:rsidRPr="005A44D0">
        <w:rPr>
          <w:rFonts w:ascii="Times New Roman" w:hAnsi="Times New Roman"/>
          <w:b/>
          <w:bCs/>
          <w:i/>
          <w:iCs/>
          <w:szCs w:val="28"/>
          <w:u w:val="single"/>
        </w:rPr>
        <w:t>evidence</w:t>
      </w:r>
      <w:r>
        <w:rPr>
          <w:rFonts w:ascii="Times New Roman" w:hAnsi="Times New Roman"/>
          <w:b/>
          <w:bCs/>
          <w:i/>
          <w:iCs/>
          <w:szCs w:val="28"/>
        </w:rPr>
        <w:t xml:space="preserve"> to rebut the heeding presumption, a directed verdict on this issue should be granted.</w:t>
      </w:r>
      <w:r>
        <w:rPr>
          <w:rFonts w:ascii="Times New Roman" w:hAnsi="Times New Roman"/>
          <w:b/>
          <w:bCs/>
          <w:szCs w:val="28"/>
        </w:rPr>
        <w:t>]</w:t>
      </w:r>
    </w:p>
    <w:p w14:paraId="77D84211" w14:textId="77777777" w:rsidR="004D4CF1" w:rsidRDefault="004D4CF1" w:rsidP="005A44D0">
      <w:pPr>
        <w:widowControl/>
        <w:tabs>
          <w:tab w:val="left" w:pos="-1080"/>
          <w:tab w:val="left" w:pos="-720"/>
          <w:tab w:val="left" w:pos="720"/>
          <w:tab w:val="left" w:pos="810"/>
          <w:tab w:val="left" w:pos="1440"/>
          <w:tab w:val="left" w:pos="2160"/>
          <w:tab w:val="left" w:pos="2880"/>
          <w:tab w:val="left" w:pos="3600"/>
          <w:tab w:val="left" w:pos="4320"/>
          <w:tab w:val="left" w:pos="5040"/>
          <w:tab w:val="left" w:pos="5760"/>
          <w:tab w:val="left" w:pos="6480"/>
          <w:tab w:val="left" w:pos="7200"/>
          <w:tab w:val="left" w:pos="7920"/>
        </w:tabs>
        <w:ind w:left="720" w:right="180"/>
        <w:rPr>
          <w:rFonts w:ascii="Times New Roman" w:hAnsi="Times New Roman"/>
          <w:szCs w:val="28"/>
        </w:rPr>
      </w:pPr>
    </w:p>
    <w:p w14:paraId="3E6B7020" w14:textId="772E27BA" w:rsidR="00EA315A" w:rsidRDefault="00EA315A" w:rsidP="005A44D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80"/>
        <w:rPr>
          <w:rFonts w:ascii="Times New Roman" w:hAnsi="Times New Roman"/>
          <w:b/>
          <w:bCs/>
          <w:szCs w:val="28"/>
        </w:rPr>
      </w:pPr>
      <w:r>
        <w:rPr>
          <w:rFonts w:ascii="Times New Roman" w:hAnsi="Times New Roman"/>
          <w:b/>
          <w:bCs/>
          <w:szCs w:val="28"/>
        </w:rPr>
        <w:lastRenderedPageBreak/>
        <w:t>[</w:t>
      </w:r>
      <w:r>
        <w:rPr>
          <w:rFonts w:ascii="Times New Roman" w:hAnsi="Times New Roman"/>
          <w:b/>
          <w:bCs/>
          <w:i/>
          <w:iCs/>
          <w:szCs w:val="28"/>
        </w:rPr>
        <w:t xml:space="preserve">When defendant offers </w:t>
      </w:r>
      <w:r w:rsidRPr="005A44D0">
        <w:rPr>
          <w:rFonts w:ascii="Times New Roman" w:hAnsi="Times New Roman"/>
          <w:b/>
          <w:bCs/>
          <w:i/>
          <w:iCs/>
          <w:szCs w:val="28"/>
          <w:u w:val="single"/>
        </w:rPr>
        <w:t>evidence</w:t>
      </w:r>
      <w:r>
        <w:rPr>
          <w:rFonts w:ascii="Times New Roman" w:hAnsi="Times New Roman"/>
          <w:b/>
          <w:bCs/>
          <w:i/>
          <w:iCs/>
          <w:szCs w:val="28"/>
        </w:rPr>
        <w:t xml:space="preserve"> sufficient to rebut the heeding presumption, charge as follows:</w:t>
      </w:r>
      <w:r>
        <w:rPr>
          <w:rFonts w:ascii="Times New Roman" w:hAnsi="Times New Roman"/>
          <w:b/>
          <w:bCs/>
          <w:szCs w:val="28"/>
        </w:rPr>
        <w:t>]</w:t>
      </w:r>
      <w:r>
        <w:rPr>
          <w:rStyle w:val="FootnoteReference"/>
          <w:rFonts w:ascii="Times New Roman" w:hAnsi="Times New Roman"/>
          <w:szCs w:val="28"/>
        </w:rPr>
        <w:footnoteReference w:id="12"/>
      </w:r>
    </w:p>
    <w:p w14:paraId="40B70C32" w14:textId="77777777" w:rsidR="00B24673" w:rsidRDefault="00B24673" w:rsidP="005A44D0">
      <w:pPr>
        <w:widowControl/>
        <w:tabs>
          <w:tab w:val="left" w:pos="-108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s>
        <w:ind w:left="720" w:right="180"/>
        <w:rPr>
          <w:rFonts w:ascii="Times New Roman" w:hAnsi="Times New Roman"/>
          <w:szCs w:val="28"/>
        </w:rPr>
      </w:pPr>
    </w:p>
    <w:p w14:paraId="722A923F" w14:textId="66ABD9DE" w:rsidR="00EA315A" w:rsidRDefault="00EA315A">
      <w:pPr>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810"/>
        <w:jc w:val="both"/>
        <w:rPr>
          <w:rFonts w:ascii="Times New Roman" w:hAnsi="Times New Roman"/>
          <w:szCs w:val="28"/>
        </w:rPr>
      </w:pPr>
      <w:r>
        <w:rPr>
          <w:rFonts w:ascii="Times New Roman" w:hAnsi="Times New Roman"/>
          <w:szCs w:val="28"/>
        </w:rPr>
        <w:t xml:space="preserve">In this case, </w:t>
      </w:r>
      <w:r w:rsidR="00205651" w:rsidRPr="00205651">
        <w:rPr>
          <w:rFonts w:ascii="Times New Roman" w:hAnsi="Times New Roman"/>
          <w:szCs w:val="28"/>
        </w:rPr>
        <w:t>[</w:t>
      </w:r>
      <w:r w:rsidR="007237F8">
        <w:rPr>
          <w:rFonts w:ascii="Times New Roman" w:hAnsi="Times New Roman"/>
          <w:i/>
          <w:iCs/>
          <w:szCs w:val="28"/>
        </w:rPr>
        <w:t>P</w:t>
      </w:r>
      <w:r>
        <w:rPr>
          <w:rFonts w:ascii="Times New Roman" w:hAnsi="Times New Roman"/>
          <w:i/>
          <w:iCs/>
          <w:szCs w:val="28"/>
        </w:rPr>
        <w:t>laintiff</w:t>
      </w:r>
      <w:r w:rsidR="00205651" w:rsidRPr="00205651">
        <w:rPr>
          <w:rFonts w:ascii="Times New Roman" w:hAnsi="Times New Roman"/>
          <w:szCs w:val="28"/>
        </w:rPr>
        <w:t>]</w:t>
      </w:r>
      <w:r>
        <w:rPr>
          <w:rFonts w:ascii="Times New Roman" w:hAnsi="Times New Roman"/>
          <w:szCs w:val="28"/>
        </w:rPr>
        <w:t xml:space="preserve"> claims that the </w:t>
      </w:r>
      <w:r w:rsidR="00205651" w:rsidRPr="00205651">
        <w:rPr>
          <w:rFonts w:ascii="Times New Roman" w:hAnsi="Times New Roman"/>
          <w:szCs w:val="28"/>
        </w:rPr>
        <w:t>[</w:t>
      </w:r>
      <w:r w:rsidR="007237F8">
        <w:rPr>
          <w:rFonts w:ascii="Times New Roman" w:hAnsi="Times New Roman"/>
          <w:i/>
          <w:iCs/>
          <w:szCs w:val="28"/>
        </w:rPr>
        <w:t>P</w:t>
      </w:r>
      <w:r>
        <w:rPr>
          <w:rFonts w:ascii="Times New Roman" w:hAnsi="Times New Roman"/>
          <w:i/>
          <w:iCs/>
          <w:szCs w:val="28"/>
        </w:rPr>
        <w:t>roduct</w:t>
      </w:r>
      <w:r w:rsidR="00205651" w:rsidRPr="00205651">
        <w:rPr>
          <w:rFonts w:ascii="Times New Roman" w:hAnsi="Times New Roman"/>
          <w:szCs w:val="28"/>
        </w:rPr>
        <w:t>]</w:t>
      </w:r>
      <w:r>
        <w:rPr>
          <w:rFonts w:ascii="Times New Roman" w:hAnsi="Times New Roman"/>
          <w:szCs w:val="28"/>
        </w:rPr>
        <w:t xml:space="preserve"> was defective because there was no adequate warning/instruction.  If you find that the </w:t>
      </w:r>
      <w:r w:rsidR="00205651" w:rsidRPr="00205651">
        <w:rPr>
          <w:rFonts w:ascii="Times New Roman" w:hAnsi="Times New Roman"/>
          <w:szCs w:val="28"/>
        </w:rPr>
        <w:t>[</w:t>
      </w:r>
      <w:r w:rsidR="007237F8">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was defective because adequate warning/instruction was not given, then you must decide whether the lack of an adequate warning/instruction was a proximate cause of the accident.  </w:t>
      </w:r>
    </w:p>
    <w:p w14:paraId="66396B0D" w14:textId="113385A3"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The </w:t>
      </w:r>
      <w:r w:rsidR="00205651" w:rsidRPr="00205651">
        <w:rPr>
          <w:rFonts w:ascii="Times New Roman" w:hAnsi="Times New Roman"/>
          <w:szCs w:val="28"/>
        </w:rPr>
        <w:t>[</w:t>
      </w:r>
      <w:r w:rsidR="007237F8">
        <w:rPr>
          <w:rFonts w:ascii="Times New Roman" w:hAnsi="Times New Roman"/>
          <w:i/>
          <w:iCs/>
          <w:szCs w:val="28"/>
        </w:rPr>
        <w:t>D</w:t>
      </w:r>
      <w:r>
        <w:rPr>
          <w:rFonts w:ascii="Times New Roman" w:hAnsi="Times New Roman"/>
          <w:i/>
          <w:iCs/>
          <w:szCs w:val="28"/>
        </w:rPr>
        <w:t>efendant</w:t>
      </w:r>
      <w:r w:rsidR="00205651" w:rsidRPr="00205651">
        <w:rPr>
          <w:rFonts w:ascii="Times New Roman" w:hAnsi="Times New Roman"/>
          <w:szCs w:val="28"/>
        </w:rPr>
        <w:t>]</w:t>
      </w:r>
      <w:r>
        <w:rPr>
          <w:rFonts w:ascii="Times New Roman" w:hAnsi="Times New Roman"/>
          <w:szCs w:val="28"/>
        </w:rPr>
        <w:t xml:space="preserve"> has introduced evidence seeking to show that </w:t>
      </w:r>
      <w:r w:rsidR="00205651" w:rsidRPr="00205651">
        <w:rPr>
          <w:rFonts w:ascii="Times New Roman" w:hAnsi="Times New Roman"/>
          <w:szCs w:val="28"/>
        </w:rPr>
        <w:t>[</w:t>
      </w:r>
      <w:r w:rsidR="007237F8">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would not have read and followed an adequate warning/instruction even if one had been provided by the defendant.  </w:t>
      </w:r>
    </w:p>
    <w:p w14:paraId="43CCCEC7" w14:textId="19DFF03E" w:rsidR="00EA315A" w:rsidRDefault="00EA315A">
      <w:pPr>
        <w:pStyle w:val="BodyTextIndent2"/>
      </w:pPr>
      <w:r>
        <w:lastRenderedPageBreak/>
        <w:t xml:space="preserve">You have to decide whether plaintiff would have read and heeded a warning/instruction had one been given or that </w:t>
      </w:r>
      <w:r w:rsidR="00205651">
        <w:t>t</w:t>
      </w:r>
      <w:r>
        <w:t xml:space="preserve">he </w:t>
      </w:r>
      <w:r w:rsidR="00205651">
        <w:t xml:space="preserve">plaintiff </w:t>
      </w:r>
      <w:r>
        <w:t xml:space="preserve">would not have read and heeded a warning/instruction had one been given.  </w:t>
      </w:r>
    </w:p>
    <w:p w14:paraId="23258834" w14:textId="31576F47" w:rsidR="00EA315A" w:rsidRDefault="00EA315A" w:rsidP="0028691E">
      <w:pPr>
        <w:pStyle w:val="BodyTextIndent2"/>
      </w:pPr>
      <w:r>
        <w:t xml:space="preserve">Plaintiff has the burden to prove by a preponderance of the credible evidence that </w:t>
      </w:r>
      <w:r w:rsidR="00EF3DC5">
        <w:t>the plaintiff</w:t>
      </w:r>
      <w:r>
        <w:t xml:space="preserve"> would have followed an adequate warning/instruction if it had been provided.  </w:t>
      </w:r>
    </w:p>
    <w:p w14:paraId="71E6F98C" w14:textId="77777777" w:rsidR="007269D3" w:rsidRDefault="007269D3" w:rsidP="007269D3">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b/>
          <w:bCs/>
          <w:szCs w:val="28"/>
        </w:rPr>
      </w:pPr>
    </w:p>
    <w:p w14:paraId="450054B6" w14:textId="77777777" w:rsidR="00EA315A" w:rsidRDefault="00EA315A" w:rsidP="007269D3">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Pr>
          <w:rFonts w:ascii="Times New Roman" w:hAnsi="Times New Roman"/>
          <w:b/>
          <w:bCs/>
          <w:szCs w:val="28"/>
        </w:rPr>
        <w:t>6.</w:t>
      </w:r>
      <w:r>
        <w:rPr>
          <w:rFonts w:ascii="Times New Roman" w:hAnsi="Times New Roman"/>
          <w:szCs w:val="28"/>
        </w:rPr>
        <w:tab/>
        <w:t>That the failure to adequately warn/instruct was a proximate cause of the accident/injury.</w:t>
      </w:r>
      <w:r>
        <w:rPr>
          <w:rStyle w:val="FootnoteReference"/>
          <w:rFonts w:ascii="Times New Roman" w:hAnsi="Times New Roman"/>
          <w:szCs w:val="28"/>
        </w:rPr>
        <w:footnoteReference w:id="13"/>
      </w:r>
      <w:r>
        <w:rPr>
          <w:rFonts w:ascii="Times New Roman" w:hAnsi="Times New Roman"/>
          <w:szCs w:val="28"/>
        </w:rPr>
        <w:t xml:space="preserve">  </w:t>
      </w:r>
    </w:p>
    <w:p w14:paraId="38BEB6D7" w14:textId="77777777" w:rsidR="004938EF" w:rsidRDefault="004938EF">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p>
    <w:p w14:paraId="07791F17" w14:textId="719AD02C" w:rsidR="00EA315A" w:rsidRDefault="00EA315A" w:rsidP="003B07CB">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Proximate cause means that the failure to warn/instruct was a substantial factor which singly, or in combination with another cause or causes, brought about the accident.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need not prove that this accident could have been anticipated so long as it was foreseeable that some harm could result from the failure to warn/instruct.  If an adequate warning/instruction would have reduced the risk of the occurrence of this accident, you may find that its absence was a contributing factor </w:t>
      </w:r>
      <w:r>
        <w:rPr>
          <w:rFonts w:ascii="Times New Roman" w:hAnsi="Times New Roman"/>
          <w:szCs w:val="28"/>
        </w:rPr>
        <w:lastRenderedPageBreak/>
        <w:t>to the happening of this accident.  If, on the other hand, the failure to warn/instruct does not add to the risk of the occurrence of this accident and therefore is not a contributing factor to the happening of the accident, then plaintiff has failed to establish that the failure to warn/instruct was a proximate cause of the accident.</w:t>
      </w:r>
    </w:p>
    <w:p w14:paraId="4CAA65AF" w14:textId="77777777" w:rsidR="00EA315A" w:rsidRDefault="005D03C6" w:rsidP="003B07CB">
      <w:pPr>
        <w:keepNext/>
        <w:keepLines/>
        <w:widowControl/>
        <w:tabs>
          <w:tab w:val="center" w:pos="4680"/>
          <w:tab w:val="left" w:pos="5040"/>
          <w:tab w:val="left" w:pos="5760"/>
          <w:tab w:val="left" w:pos="6480"/>
          <w:tab w:val="left" w:pos="7200"/>
          <w:tab w:val="left" w:pos="7920"/>
          <w:tab w:val="left" w:pos="8640"/>
          <w:tab w:val="left" w:pos="9360"/>
        </w:tabs>
        <w:spacing w:line="480" w:lineRule="auto"/>
        <w:jc w:val="center"/>
        <w:rPr>
          <w:rFonts w:ascii="Times New Roman" w:hAnsi="Times New Roman"/>
          <w:szCs w:val="28"/>
        </w:rPr>
      </w:pPr>
      <w:r>
        <w:rPr>
          <w:rFonts w:ascii="Times New Roman" w:hAnsi="Times New Roman"/>
          <w:b/>
          <w:bCs/>
          <w:szCs w:val="28"/>
        </w:rPr>
        <w:t>[</w:t>
      </w:r>
      <w:r w:rsidR="00EA315A" w:rsidRPr="005D03C6">
        <w:rPr>
          <w:rFonts w:ascii="Times New Roman" w:hAnsi="Times New Roman"/>
          <w:b/>
          <w:bCs/>
          <w:i/>
          <w:szCs w:val="28"/>
        </w:rPr>
        <w:t>Instruction on intervening cause</w:t>
      </w:r>
      <w:r w:rsidRPr="005D03C6">
        <w:rPr>
          <w:rFonts w:ascii="Times New Roman" w:hAnsi="Times New Roman"/>
          <w:b/>
          <w:bCs/>
          <w:i/>
          <w:szCs w:val="28"/>
        </w:rPr>
        <w:t>,</w:t>
      </w:r>
      <w:r w:rsidR="00EA315A" w:rsidRPr="005D03C6">
        <w:rPr>
          <w:rFonts w:ascii="Times New Roman" w:hAnsi="Times New Roman"/>
          <w:b/>
          <w:bCs/>
          <w:i/>
          <w:szCs w:val="28"/>
        </w:rPr>
        <w:t xml:space="preserve"> where applicable:</w:t>
      </w:r>
      <w:r>
        <w:rPr>
          <w:rFonts w:ascii="Times New Roman" w:hAnsi="Times New Roman"/>
          <w:b/>
          <w:bCs/>
          <w:szCs w:val="28"/>
        </w:rPr>
        <w:t>]</w:t>
      </w:r>
    </w:p>
    <w:p w14:paraId="400BCA7C" w14:textId="3BD8287C" w:rsidR="00EA315A" w:rsidRDefault="00EA315A" w:rsidP="003B07CB">
      <w:pPr>
        <w:keepLines/>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In this case the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contends that </w:t>
      </w:r>
      <w:r w:rsidR="00205651" w:rsidRPr="00205651">
        <w:rPr>
          <w:rFonts w:ascii="Times New Roman" w:hAnsi="Times New Roman"/>
          <w:szCs w:val="28"/>
        </w:rPr>
        <w:t>[</w:t>
      </w:r>
      <w:r w:rsidRPr="003153C5">
        <w:rPr>
          <w:rFonts w:ascii="Times New Roman" w:hAnsi="Times New Roman"/>
          <w:i/>
          <w:szCs w:val="28"/>
        </w:rPr>
        <w:t>set forth defendant’s contention</w:t>
      </w:r>
      <w:r w:rsidR="00205651" w:rsidRPr="00205651">
        <w:rPr>
          <w:rFonts w:ascii="Times New Roman" w:hAnsi="Times New Roman"/>
          <w:szCs w:val="28"/>
        </w:rPr>
        <w:t>]</w:t>
      </w:r>
      <w:r>
        <w:rPr>
          <w:rFonts w:ascii="Times New Roman" w:hAnsi="Times New Roman"/>
          <w:szCs w:val="28"/>
        </w:rPr>
        <w:t xml:space="preserve"> was an intervening cause.</w:t>
      </w:r>
    </w:p>
    <w:p w14:paraId="1F63BDB5" w14:textId="76ECA7E1"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An intervening cause is the act of an independent agency which destroys the causal connection between the defect in the product and the accident.  To be an intervening cause the independent act must be the immediate and sole cause of the accident.  In that event, liability will not be established because the failure to warn/instruct is not a proximate cause of the injury.  However, the defendant would not be relieved from liability for its failure to warn/instruct by the intervention of acts of third </w:t>
      </w:r>
      <w:r w:rsidR="00AC0364">
        <w:rPr>
          <w:rFonts w:ascii="Times New Roman" w:hAnsi="Times New Roman"/>
          <w:szCs w:val="28"/>
        </w:rPr>
        <w:t>persons if</w:t>
      </w:r>
      <w:r>
        <w:rPr>
          <w:rFonts w:ascii="Times New Roman" w:hAnsi="Times New Roman"/>
          <w:szCs w:val="28"/>
        </w:rPr>
        <w:t xml:space="preserve"> those acts were reasonably foreseeable.  Where the intervention of third parties is reasonably foreseeable, then there is a substantial causal connection between the product defect and the accident.</w:t>
      </w:r>
      <w:r>
        <w:rPr>
          <w:rStyle w:val="FootnoteReference"/>
          <w:rFonts w:ascii="Times New Roman" w:hAnsi="Times New Roman"/>
          <w:szCs w:val="28"/>
        </w:rPr>
        <w:footnoteReference w:id="14"/>
      </w:r>
      <w:r>
        <w:rPr>
          <w:rFonts w:ascii="Times New Roman" w:hAnsi="Times New Roman"/>
          <w:szCs w:val="28"/>
        </w:rPr>
        <w:t xml:space="preserve">  You must determine whether the </w:t>
      </w:r>
      <w:r w:rsidR="00205651" w:rsidRPr="00205651">
        <w:rPr>
          <w:rFonts w:ascii="Times New Roman" w:hAnsi="Times New Roman"/>
          <w:szCs w:val="28"/>
        </w:rPr>
        <w:t>[</w:t>
      </w:r>
      <w:r>
        <w:rPr>
          <w:rFonts w:ascii="Times New Roman" w:hAnsi="Times New Roman"/>
          <w:i/>
          <w:iCs/>
          <w:szCs w:val="28"/>
        </w:rPr>
        <w:t>alleged intervening cause</w:t>
      </w:r>
      <w:r w:rsidR="00205651" w:rsidRPr="00205651">
        <w:rPr>
          <w:rFonts w:ascii="Times New Roman" w:hAnsi="Times New Roman"/>
          <w:szCs w:val="28"/>
        </w:rPr>
        <w:t>]</w:t>
      </w:r>
      <w:r>
        <w:rPr>
          <w:rFonts w:ascii="Times New Roman" w:hAnsi="Times New Roman"/>
          <w:szCs w:val="28"/>
        </w:rPr>
        <w:t xml:space="preserve"> was an intervening cause that </w:t>
      </w:r>
      <w:r>
        <w:rPr>
          <w:rFonts w:ascii="Times New Roman" w:hAnsi="Times New Roman"/>
          <w:szCs w:val="28"/>
        </w:rPr>
        <w:lastRenderedPageBreak/>
        <w:t>destroyed the causal connection between the failure to warn and the accident.  If it did, then the failure to warn/instruct was not a proximate cause of the accident.</w:t>
      </w:r>
    </w:p>
    <w:p w14:paraId="5071873E" w14:textId="29452946"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If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has proven each element by a preponderance of the credible evidence, then you must find for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w:t>
      </w:r>
    </w:p>
    <w:p w14:paraId="2E5E4219" w14:textId="75590865"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rPr>
          <w:rFonts w:ascii="Times New Roman" w:hAnsi="Times New Roman"/>
          <w:szCs w:val="28"/>
        </w:rPr>
      </w:pPr>
      <w:r>
        <w:rPr>
          <w:rFonts w:ascii="Times New Roman" w:hAnsi="Times New Roman"/>
          <w:szCs w:val="28"/>
        </w:rPr>
        <w:t xml:space="preserve">If, on the other hand,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has failed to prove any of the elements, then you must find for the defendant.</w:t>
      </w:r>
    </w:p>
    <w:p w14:paraId="711A741F" w14:textId="77777777" w:rsidR="00EA315A" w:rsidRDefault="00EA315A">
      <w:pPr>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s>
        <w:jc w:val="both"/>
        <w:rPr>
          <w:rFonts w:ascii="Times New Roman" w:hAnsi="Times New Roman"/>
          <w:b/>
          <w:bCs/>
          <w:szCs w:val="28"/>
        </w:rPr>
      </w:pPr>
    </w:p>
    <w:p w14:paraId="1EE5CE90" w14:textId="77777777" w:rsidR="00EA315A" w:rsidRDefault="00EA315A" w:rsidP="003B07CB">
      <w:pPr>
        <w:widowControl/>
        <w:tabs>
          <w:tab w:val="left" w:pos="-1080"/>
          <w:tab w:val="left" w:pos="-720"/>
          <w:tab w:val="left" w:pos="0"/>
          <w:tab w:val="left" w:pos="360"/>
          <w:tab w:val="left" w:pos="1440"/>
          <w:tab w:val="left" w:pos="2160"/>
          <w:tab w:val="left" w:pos="2880"/>
          <w:tab w:val="left" w:pos="3600"/>
          <w:tab w:val="left" w:pos="4320"/>
          <w:tab w:val="left" w:pos="5040"/>
          <w:tab w:val="left" w:pos="5760"/>
          <w:tab w:val="left" w:pos="6480"/>
          <w:tab w:val="left" w:pos="7200"/>
          <w:tab w:val="left" w:pos="7920"/>
        </w:tabs>
        <w:ind w:left="720" w:right="187"/>
        <w:jc w:val="both"/>
        <w:rPr>
          <w:rFonts w:ascii="Times New Roman" w:hAnsi="Times New Roman"/>
          <w:szCs w:val="28"/>
        </w:rPr>
      </w:pPr>
      <w:r>
        <w:rPr>
          <w:rFonts w:ascii="Times New Roman" w:hAnsi="Times New Roman"/>
          <w:b/>
          <w:bCs/>
          <w:szCs w:val="28"/>
        </w:rPr>
        <w:t>[</w:t>
      </w:r>
      <w:r>
        <w:rPr>
          <w:rFonts w:ascii="Times New Roman" w:hAnsi="Times New Roman"/>
          <w:b/>
          <w:bCs/>
          <w:i/>
          <w:iCs/>
          <w:szCs w:val="28"/>
        </w:rPr>
        <w:t>When there is a jury question dealing with defendant’s affirmative defense or contributory/comparative negligence, the next three questions are applicable.</w:t>
      </w:r>
      <w:r>
        <w:rPr>
          <w:rFonts w:ascii="Times New Roman" w:hAnsi="Times New Roman"/>
          <w:b/>
          <w:bCs/>
          <w:szCs w:val="28"/>
        </w:rPr>
        <w:t>]</w:t>
      </w:r>
    </w:p>
    <w:p w14:paraId="7132232E" w14:textId="77777777" w:rsidR="00EA315A" w:rsidRDefault="00EA315A" w:rsidP="007269D3">
      <w:pPr>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rFonts w:ascii="Times New Roman" w:hAnsi="Times New Roman"/>
          <w:szCs w:val="28"/>
        </w:rPr>
      </w:pPr>
    </w:p>
    <w:p w14:paraId="2B7C96BF" w14:textId="77777777" w:rsidR="00EA315A" w:rsidRDefault="00EA315A" w:rsidP="007269D3">
      <w:pPr>
        <w:widowControl/>
        <w:numPr>
          <w:ilvl w:val="0"/>
          <w:numId w:val="2"/>
        </w:numPr>
        <w:tabs>
          <w:tab w:val="clear" w:pos="1170"/>
          <w:tab w:val="left" w:pos="-1080"/>
          <w:tab w:val="left" w:pos="-720"/>
          <w:tab w:val="left" w:pos="0"/>
          <w:tab w:val="num" w:pos="720"/>
          <w:tab w:val="left" w:pos="1440"/>
          <w:tab w:val="left" w:pos="2160"/>
          <w:tab w:val="left" w:pos="2880"/>
          <w:tab w:val="left" w:pos="3600"/>
          <w:tab w:val="left" w:pos="4320"/>
          <w:tab w:val="left" w:pos="5040"/>
          <w:tab w:val="left" w:pos="5760"/>
          <w:tab w:val="left" w:pos="6480"/>
          <w:tab w:val="left" w:pos="7200"/>
          <w:tab w:val="left" w:pos="7920"/>
        </w:tabs>
        <w:ind w:left="720" w:hanging="720"/>
        <w:jc w:val="both"/>
        <w:rPr>
          <w:rFonts w:ascii="Times New Roman" w:hAnsi="Times New Roman"/>
          <w:szCs w:val="28"/>
        </w:rPr>
      </w:pPr>
      <w:r>
        <w:rPr>
          <w:rFonts w:ascii="Times New Roman" w:hAnsi="Times New Roman"/>
          <w:szCs w:val="28"/>
        </w:rPr>
        <w:t>Was the plaintiff negligent?</w:t>
      </w:r>
      <w:r>
        <w:rPr>
          <w:rStyle w:val="FootnoteReference"/>
          <w:rFonts w:ascii="Times New Roman" w:hAnsi="Times New Roman"/>
          <w:szCs w:val="28"/>
        </w:rPr>
        <w:footnoteReference w:id="15"/>
      </w:r>
    </w:p>
    <w:p w14:paraId="65AFDAC0" w14:textId="77777777" w:rsidR="007269D3" w:rsidRDefault="007269D3" w:rsidP="007269D3">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line="480" w:lineRule="auto"/>
        <w:jc w:val="both"/>
        <w:rPr>
          <w:rFonts w:ascii="Times New Roman" w:hAnsi="Times New Roman"/>
          <w:szCs w:val="28"/>
        </w:rPr>
      </w:pPr>
    </w:p>
    <w:p w14:paraId="2667EEE3" w14:textId="6D444F37" w:rsidR="00EA315A" w:rsidRDefault="00205651">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rPr>
          <w:rFonts w:ascii="Times New Roman" w:hAnsi="Times New Roman"/>
          <w:szCs w:val="28"/>
        </w:rPr>
      </w:pPr>
      <w:r w:rsidRPr="00205651">
        <w:rPr>
          <w:rFonts w:ascii="Times New Roman" w:hAnsi="Times New Roman"/>
          <w:szCs w:val="28"/>
        </w:rPr>
        <w:t>[</w:t>
      </w:r>
      <w:r w:rsidR="00EA315A">
        <w:rPr>
          <w:rFonts w:ascii="Times New Roman" w:hAnsi="Times New Roman"/>
          <w:i/>
          <w:iCs/>
          <w:szCs w:val="28"/>
        </w:rPr>
        <w:t>Defendant</w:t>
      </w:r>
      <w:r w:rsidRPr="00205651">
        <w:rPr>
          <w:rFonts w:ascii="Times New Roman" w:hAnsi="Times New Roman"/>
          <w:szCs w:val="28"/>
        </w:rPr>
        <w:t>]</w:t>
      </w:r>
      <w:r w:rsidR="00EA315A">
        <w:rPr>
          <w:rFonts w:ascii="Times New Roman" w:hAnsi="Times New Roman"/>
          <w:szCs w:val="28"/>
        </w:rPr>
        <w:t xml:space="preserve"> contends that </w:t>
      </w:r>
      <w:r w:rsidRPr="00205651">
        <w:rPr>
          <w:rFonts w:ascii="Times New Roman" w:hAnsi="Times New Roman"/>
          <w:szCs w:val="28"/>
        </w:rPr>
        <w:t>[</w:t>
      </w:r>
      <w:r w:rsidR="00EA315A">
        <w:rPr>
          <w:rFonts w:ascii="Times New Roman" w:hAnsi="Times New Roman"/>
          <w:i/>
          <w:iCs/>
          <w:szCs w:val="28"/>
        </w:rPr>
        <w:t>Plaintiff</w:t>
      </w:r>
      <w:r w:rsidRPr="00205651">
        <w:rPr>
          <w:rFonts w:ascii="Times New Roman" w:hAnsi="Times New Roman"/>
          <w:szCs w:val="28"/>
        </w:rPr>
        <w:t>]</w:t>
      </w:r>
      <w:r w:rsidR="00EA315A">
        <w:rPr>
          <w:rFonts w:ascii="Times New Roman" w:hAnsi="Times New Roman"/>
          <w:szCs w:val="28"/>
        </w:rPr>
        <w:t xml:space="preserve"> was at fault for the happening of the accident.  </w:t>
      </w:r>
      <w:r w:rsidRPr="00205651">
        <w:rPr>
          <w:rFonts w:ascii="Times New Roman" w:hAnsi="Times New Roman"/>
          <w:szCs w:val="28"/>
        </w:rPr>
        <w:t>[</w:t>
      </w:r>
      <w:r w:rsidR="00EA315A">
        <w:rPr>
          <w:rFonts w:ascii="Times New Roman" w:hAnsi="Times New Roman"/>
          <w:i/>
          <w:iCs/>
          <w:szCs w:val="28"/>
        </w:rPr>
        <w:t>Briefly describe contention.</w:t>
      </w:r>
      <w:r w:rsidRPr="00205651">
        <w:rPr>
          <w:rFonts w:ascii="Times New Roman" w:hAnsi="Times New Roman"/>
          <w:szCs w:val="28"/>
        </w:rPr>
        <w:t>]</w:t>
      </w:r>
      <w:r w:rsidR="00EA315A">
        <w:rPr>
          <w:rFonts w:ascii="Times New Roman" w:hAnsi="Times New Roman"/>
          <w:szCs w:val="28"/>
        </w:rPr>
        <w:t xml:space="preserve"> </w:t>
      </w:r>
    </w:p>
    <w:p w14:paraId="7C444CF5" w14:textId="1A9397D0" w:rsidR="00EA315A" w:rsidRDefault="00EA315A">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s>
        <w:spacing w:line="480" w:lineRule="auto"/>
        <w:ind w:firstLine="720"/>
        <w:jc w:val="both"/>
        <w:rPr>
          <w:rFonts w:ascii="Times New Roman" w:hAnsi="Times New Roman"/>
          <w:szCs w:val="28"/>
        </w:rPr>
      </w:pPr>
      <w:r>
        <w:rPr>
          <w:rFonts w:ascii="Times New Roman" w:hAnsi="Times New Roman"/>
          <w:szCs w:val="28"/>
        </w:rPr>
        <w:t xml:space="preserve">To win on this defense,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must prove that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voluntarily and reasonably proceeded to encounter a known danger and that </w:t>
      </w:r>
      <w:r w:rsidR="00205651" w:rsidRPr="00205651">
        <w:rPr>
          <w:rFonts w:ascii="Times New Roman" w:hAnsi="Times New Roman"/>
          <w:szCs w:val="28"/>
        </w:rPr>
        <w:t>[</w:t>
      </w:r>
      <w:r>
        <w:rPr>
          <w:rFonts w:ascii="Times New Roman" w:hAnsi="Times New Roman"/>
          <w:i/>
          <w:iCs/>
          <w:szCs w:val="28"/>
        </w:rPr>
        <w:t>Plaintiff’s</w:t>
      </w:r>
      <w:r w:rsidR="00205651" w:rsidRPr="00205651">
        <w:rPr>
          <w:rFonts w:ascii="Times New Roman" w:hAnsi="Times New Roman"/>
          <w:szCs w:val="28"/>
        </w:rPr>
        <w:t>]</w:t>
      </w:r>
      <w:r>
        <w:rPr>
          <w:rFonts w:ascii="Times New Roman" w:hAnsi="Times New Roman"/>
          <w:szCs w:val="28"/>
        </w:rPr>
        <w:t xml:space="preserve"> action was a proximate cause of the accident.  The failure of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to discover inadequate warnings or instructions or to guard against the possibility of inadequate warnings </w:t>
      </w:r>
      <w:r>
        <w:rPr>
          <w:rFonts w:ascii="Times New Roman" w:hAnsi="Times New Roman"/>
          <w:szCs w:val="28"/>
        </w:rPr>
        <w:lastRenderedPageBreak/>
        <w:t xml:space="preserve">or instructions is not a defense.  Rather, to win on this defense, </w:t>
      </w:r>
      <w:r w:rsidR="00205651" w:rsidRPr="00205651">
        <w:rPr>
          <w:rFonts w:ascii="Times New Roman" w:hAnsi="Times New Roman"/>
          <w:szCs w:val="28"/>
        </w:rPr>
        <w:t>[</w:t>
      </w:r>
      <w:r>
        <w:rPr>
          <w:rFonts w:ascii="Times New Roman" w:hAnsi="Times New Roman"/>
          <w:i/>
          <w:iCs/>
          <w:szCs w:val="28"/>
        </w:rPr>
        <w:t>Defendant</w:t>
      </w:r>
      <w:r w:rsidR="00205651" w:rsidRPr="00205651">
        <w:rPr>
          <w:rFonts w:ascii="Times New Roman" w:hAnsi="Times New Roman"/>
          <w:szCs w:val="28"/>
        </w:rPr>
        <w:t>]</w:t>
      </w:r>
      <w:r>
        <w:rPr>
          <w:rFonts w:ascii="Times New Roman" w:hAnsi="Times New Roman"/>
          <w:szCs w:val="28"/>
        </w:rPr>
        <w:t xml:space="preserve"> must prove that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had actual knowledge of the particular danger presented by the </w:t>
      </w:r>
      <w:r w:rsidR="00205651" w:rsidRPr="00205651">
        <w:rPr>
          <w:rFonts w:ascii="Times New Roman" w:hAnsi="Times New Roman"/>
          <w:szCs w:val="28"/>
        </w:rPr>
        <w:t>[</w:t>
      </w:r>
      <w:r>
        <w:rPr>
          <w:rFonts w:ascii="Times New Roman" w:hAnsi="Times New Roman"/>
          <w:i/>
          <w:iCs/>
          <w:szCs w:val="28"/>
        </w:rPr>
        <w:t>Product</w:t>
      </w:r>
      <w:r w:rsidR="00205651" w:rsidRPr="00205651">
        <w:rPr>
          <w:rFonts w:ascii="Times New Roman" w:hAnsi="Times New Roman"/>
          <w:szCs w:val="28"/>
        </w:rPr>
        <w:t>]</w:t>
      </w:r>
      <w:r>
        <w:rPr>
          <w:rFonts w:ascii="Times New Roman" w:hAnsi="Times New Roman"/>
          <w:szCs w:val="28"/>
        </w:rPr>
        <w:t xml:space="preserve"> and that </w:t>
      </w:r>
      <w:r w:rsidR="00205651" w:rsidRPr="00205651">
        <w:rPr>
          <w:rFonts w:ascii="Times New Roman" w:hAnsi="Times New Roman"/>
          <w:szCs w:val="28"/>
        </w:rPr>
        <w:t>[</w:t>
      </w:r>
      <w:r>
        <w:rPr>
          <w:rFonts w:ascii="Times New Roman" w:hAnsi="Times New Roman"/>
          <w:i/>
          <w:iCs/>
          <w:szCs w:val="28"/>
        </w:rPr>
        <w:t>Plaintiff</w:t>
      </w:r>
      <w:r w:rsidR="00205651" w:rsidRPr="00205651">
        <w:rPr>
          <w:rFonts w:ascii="Times New Roman" w:hAnsi="Times New Roman"/>
          <w:szCs w:val="28"/>
        </w:rPr>
        <w:t>]</w:t>
      </w:r>
      <w:r>
        <w:rPr>
          <w:rFonts w:ascii="Times New Roman" w:hAnsi="Times New Roman"/>
          <w:szCs w:val="28"/>
        </w:rPr>
        <w:t xml:space="preserve"> knowingly and voluntarily encountered the risk.</w:t>
      </w:r>
    </w:p>
    <w:p w14:paraId="634952AE" w14:textId="77777777" w:rsidR="00EA315A" w:rsidRDefault="00EA315A" w:rsidP="007269D3">
      <w:pPr>
        <w:keepNext/>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b/>
          <w:bCs/>
          <w:szCs w:val="28"/>
        </w:rPr>
      </w:pPr>
    </w:p>
    <w:p w14:paraId="0EF5CAD6" w14:textId="77777777" w:rsidR="00EA315A" w:rsidRDefault="00EA315A">
      <w:pPr>
        <w:keepNext/>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Cs w:val="28"/>
        </w:rPr>
      </w:pPr>
      <w:r>
        <w:rPr>
          <w:rFonts w:ascii="Times New Roman" w:hAnsi="Times New Roman"/>
          <w:b/>
          <w:bCs/>
          <w:szCs w:val="28"/>
        </w:rPr>
        <w:t>8.</w:t>
      </w:r>
      <w:r>
        <w:rPr>
          <w:rFonts w:ascii="Times New Roman" w:hAnsi="Times New Roman"/>
          <w:szCs w:val="28"/>
        </w:rPr>
        <w:tab/>
        <w:t xml:space="preserve">Was plaintiff’s negligence a proximate cause of the injury?  </w:t>
      </w:r>
    </w:p>
    <w:p w14:paraId="06731D42" w14:textId="77777777" w:rsidR="00EA315A" w:rsidRDefault="00EA315A" w:rsidP="007269D3">
      <w:pPr>
        <w:keepNext/>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jc w:val="both"/>
        <w:rPr>
          <w:rFonts w:ascii="Times New Roman" w:hAnsi="Times New Roman"/>
          <w:szCs w:val="28"/>
        </w:rPr>
      </w:pPr>
    </w:p>
    <w:p w14:paraId="09361238" w14:textId="77777777" w:rsidR="00EA315A" w:rsidRDefault="00EA315A">
      <w:pPr>
        <w:widowControl/>
        <w:tabs>
          <w:tab w:val="center" w:pos="4680"/>
          <w:tab w:val="left" w:pos="5040"/>
          <w:tab w:val="left" w:pos="5760"/>
          <w:tab w:val="left" w:pos="6480"/>
          <w:tab w:val="left" w:pos="7200"/>
          <w:tab w:val="left" w:pos="7920"/>
          <w:tab w:val="left" w:pos="8640"/>
          <w:tab w:val="left" w:pos="9360"/>
        </w:tabs>
        <w:jc w:val="center"/>
        <w:rPr>
          <w:rFonts w:ascii="Times New Roman" w:hAnsi="Times New Roman"/>
          <w:szCs w:val="28"/>
        </w:rPr>
      </w:pPr>
      <w:r>
        <w:rPr>
          <w:rFonts w:ascii="Times New Roman" w:hAnsi="Times New Roman"/>
          <w:b/>
          <w:bCs/>
          <w:szCs w:val="28"/>
        </w:rPr>
        <w:t>[</w:t>
      </w:r>
      <w:r>
        <w:rPr>
          <w:rFonts w:ascii="Times New Roman" w:hAnsi="Times New Roman"/>
          <w:b/>
          <w:bCs/>
          <w:i/>
          <w:iCs/>
          <w:szCs w:val="28"/>
        </w:rPr>
        <w:t xml:space="preserve">See Chapter </w:t>
      </w:r>
      <w:r w:rsidR="00B025D4">
        <w:rPr>
          <w:rFonts w:ascii="Times New Roman" w:hAnsi="Times New Roman"/>
          <w:b/>
          <w:bCs/>
          <w:i/>
          <w:iCs/>
          <w:szCs w:val="28"/>
        </w:rPr>
        <w:t>6</w:t>
      </w:r>
      <w:r>
        <w:rPr>
          <w:rFonts w:ascii="Times New Roman" w:hAnsi="Times New Roman"/>
          <w:b/>
          <w:bCs/>
          <w:i/>
          <w:iCs/>
          <w:szCs w:val="28"/>
        </w:rPr>
        <w:t xml:space="preserve"> which deals with Proximate Cause.</w:t>
      </w:r>
      <w:r>
        <w:rPr>
          <w:rFonts w:ascii="Times New Roman" w:hAnsi="Times New Roman"/>
          <w:b/>
          <w:bCs/>
          <w:szCs w:val="28"/>
        </w:rPr>
        <w:t>]</w:t>
      </w:r>
    </w:p>
    <w:p w14:paraId="7A65AC62" w14:textId="77777777" w:rsidR="00EA315A" w:rsidRDefault="00EA315A">
      <w:pPr>
        <w:widowControl/>
        <w:tabs>
          <w:tab w:val="left" w:pos="-1080"/>
          <w:tab w:val="left" w:pos="-720"/>
          <w:tab w:val="left" w:pos="0"/>
          <w:tab w:val="left" w:pos="81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left="810" w:hanging="810"/>
        <w:jc w:val="both"/>
        <w:rPr>
          <w:rFonts w:ascii="Times New Roman" w:hAnsi="Times New Roman"/>
          <w:b/>
          <w:bCs/>
          <w:szCs w:val="28"/>
        </w:rPr>
      </w:pPr>
    </w:p>
    <w:p w14:paraId="299314BA" w14:textId="77777777" w:rsidR="00EA315A" w:rsidRDefault="00EA315A">
      <w:pPr>
        <w:widowControl/>
        <w:tabs>
          <w:tab w:val="left" w:pos="-108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720" w:hanging="720"/>
        <w:jc w:val="both"/>
        <w:rPr>
          <w:rFonts w:ascii="Times New Roman" w:hAnsi="Times New Roman"/>
          <w:szCs w:val="28"/>
        </w:rPr>
      </w:pPr>
      <w:r>
        <w:rPr>
          <w:rFonts w:ascii="Times New Roman" w:hAnsi="Times New Roman"/>
          <w:b/>
          <w:bCs/>
          <w:szCs w:val="28"/>
        </w:rPr>
        <w:t>9.</w:t>
      </w:r>
      <w:r>
        <w:rPr>
          <w:rFonts w:ascii="Times New Roman" w:hAnsi="Times New Roman"/>
          <w:szCs w:val="28"/>
        </w:rPr>
        <w:tab/>
        <w:t>Comparative Fault; Apportionment of Fault; Ultimate Outcome.</w:t>
      </w:r>
    </w:p>
    <w:p w14:paraId="0A8EF76B" w14:textId="77777777" w:rsidR="00E32B16" w:rsidRDefault="00E32B16" w:rsidP="007269D3">
      <w:pPr>
        <w:spacing w:after="180" w:line="480" w:lineRule="auto"/>
        <w:ind w:left="720"/>
        <w:jc w:val="both"/>
        <w:rPr>
          <w:rFonts w:ascii="Times New Roman" w:hAnsi="Times New Roman"/>
          <w:szCs w:val="28"/>
        </w:rPr>
      </w:pPr>
    </w:p>
    <w:p w14:paraId="29B6812A" w14:textId="77777777" w:rsidR="00EA315A" w:rsidRDefault="00EA315A">
      <w:pPr>
        <w:spacing w:after="180"/>
        <w:ind w:left="720"/>
        <w:jc w:val="both"/>
        <w:rPr>
          <w:rFonts w:ascii="Times New Roman" w:hAnsi="Times New Roman"/>
          <w:b/>
          <w:spacing w:val="-3"/>
        </w:rPr>
      </w:pPr>
      <w:r>
        <w:rPr>
          <w:rFonts w:ascii="Times New Roman" w:hAnsi="Times New Roman"/>
          <w:szCs w:val="28"/>
        </w:rPr>
        <w:t xml:space="preserve">If plaintiff and defendant </w:t>
      </w:r>
      <w:r w:rsidR="003153C5">
        <w:rPr>
          <w:rFonts w:ascii="Times New Roman" w:hAnsi="Times New Roman"/>
          <w:szCs w:val="28"/>
        </w:rPr>
        <w:t xml:space="preserve">both </w:t>
      </w:r>
      <w:r>
        <w:rPr>
          <w:rFonts w:ascii="Times New Roman" w:hAnsi="Times New Roman"/>
          <w:szCs w:val="28"/>
        </w:rPr>
        <w:t xml:space="preserve">are found to be at fault which is a proximate cause of the accident/injury, the jury must compare their fault in terms of percentages.  </w:t>
      </w:r>
      <w:r>
        <w:rPr>
          <w:rFonts w:ascii="Times New Roman" w:hAnsi="Times New Roman"/>
          <w:b/>
          <w:bCs/>
          <w:szCs w:val="28"/>
        </w:rPr>
        <w:t>[</w:t>
      </w:r>
      <w:r>
        <w:rPr>
          <w:rFonts w:ascii="Times New Roman" w:hAnsi="Times New Roman"/>
          <w:b/>
          <w:bCs/>
          <w:i/>
          <w:iCs/>
          <w:szCs w:val="28"/>
        </w:rPr>
        <w:t>See</w:t>
      </w:r>
      <w:r w:rsidRPr="00976E86">
        <w:rPr>
          <w:rFonts w:ascii="Times New Roman" w:hAnsi="Times New Roman"/>
          <w:b/>
          <w:bCs/>
          <w:i/>
          <w:iCs/>
          <w:szCs w:val="28"/>
        </w:rPr>
        <w:t xml:space="preserve"> </w:t>
      </w:r>
      <w:r w:rsidR="00E32B16" w:rsidRPr="00976E86">
        <w:rPr>
          <w:rFonts w:ascii="Times New Roman" w:hAnsi="Times New Roman"/>
          <w:b/>
          <w:bCs/>
          <w:i/>
          <w:iCs/>
          <w:szCs w:val="28"/>
        </w:rPr>
        <w:t xml:space="preserve">Model Civil </w:t>
      </w:r>
      <w:r w:rsidRPr="00976E86">
        <w:rPr>
          <w:rFonts w:ascii="Times New Roman" w:hAnsi="Times New Roman"/>
          <w:b/>
          <w:bCs/>
          <w:i/>
          <w:iCs/>
          <w:szCs w:val="28"/>
        </w:rPr>
        <w:t xml:space="preserve">Charge </w:t>
      </w:r>
      <w:r w:rsidR="00B025D4">
        <w:rPr>
          <w:rFonts w:ascii="Times New Roman" w:hAnsi="Times New Roman"/>
          <w:b/>
          <w:bCs/>
          <w:i/>
          <w:iCs/>
          <w:szCs w:val="28"/>
        </w:rPr>
        <w:t>7.3</w:t>
      </w:r>
      <w:r w:rsidRPr="00976E86">
        <w:rPr>
          <w:rFonts w:ascii="Times New Roman" w:hAnsi="Times New Roman"/>
          <w:b/>
          <w:bCs/>
          <w:i/>
          <w:iCs/>
          <w:szCs w:val="28"/>
        </w:rPr>
        <w:t>1.</w:t>
      </w:r>
      <w:r>
        <w:rPr>
          <w:rFonts w:ascii="Times New Roman" w:hAnsi="Times New Roman"/>
          <w:b/>
          <w:bCs/>
          <w:szCs w:val="28"/>
        </w:rPr>
        <w:t>]</w:t>
      </w:r>
    </w:p>
    <w:sectPr w:rsidR="00EA315A" w:rsidSect="00DD6C93">
      <w:headerReference w:type="even" r:id="rId9"/>
      <w:headerReference w:type="default" r:id="rId10"/>
      <w:footerReference w:type="even" r:id="rId11"/>
      <w:endnotePr>
        <w:numFmt w:val="decimal"/>
      </w:endnotePr>
      <w:type w:val="continuous"/>
      <w:pgSz w:w="12240" w:h="15840" w:code="1"/>
      <w:pgMar w:top="1008" w:right="1440" w:bottom="864" w:left="1440" w:header="1152" w:footer="0" w:gutter="0"/>
      <w:cols w:space="720"/>
      <w:noEndnote/>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02239" w14:textId="77777777" w:rsidR="001E5D2D" w:rsidRDefault="001E5D2D">
      <w:pPr>
        <w:widowControl/>
        <w:spacing w:line="20" w:lineRule="exact"/>
        <w:rPr>
          <w:sz w:val="24"/>
        </w:rPr>
      </w:pPr>
    </w:p>
  </w:endnote>
  <w:endnote w:type="continuationSeparator" w:id="0">
    <w:p w14:paraId="17FC31D5" w14:textId="77777777" w:rsidR="001E5D2D" w:rsidRDefault="001E5D2D">
      <w:r>
        <w:rPr>
          <w:sz w:val="24"/>
        </w:rPr>
        <w:t xml:space="preserve"> </w:t>
      </w:r>
    </w:p>
  </w:endnote>
  <w:endnote w:type="continuationNotice" w:id="1">
    <w:p w14:paraId="2DEF8344" w14:textId="77777777" w:rsidR="001E5D2D" w:rsidRDefault="001E5D2D">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iempo">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auto"/>
    <w:pitch w:val="variable"/>
    <w:sig w:usb0="E0002AE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87A2C" w14:textId="77777777" w:rsidR="00976E86" w:rsidRDefault="00976E86">
    <w:pPr>
      <w:pStyle w:val="Footer"/>
      <w:rPr>
        <w:rFonts w:ascii="Times New Roman" w:hAnsi="Times New Roman"/>
        <w:b/>
        <w:sz w:val="24"/>
      </w:rPr>
    </w:pPr>
    <w:r>
      <w:rPr>
        <w:rStyle w:val="PageNumber"/>
        <w:rFonts w:ascii="Times New Roman" w:hAnsi="Times New Roman"/>
        <w:b/>
        <w:sz w:val="24"/>
      </w:rPr>
      <w:t>5.34-</w:t>
    </w:r>
    <w:r>
      <w:rPr>
        <w:rStyle w:val="PageNumber"/>
        <w:rFonts w:ascii="Times New Roman" w:hAnsi="Times New Roman"/>
        <w:b/>
        <w:sz w:val="24"/>
      </w:rPr>
      <w:fldChar w:fldCharType="begin"/>
    </w:r>
    <w:r>
      <w:rPr>
        <w:rStyle w:val="PageNumber"/>
        <w:rFonts w:ascii="Times New Roman" w:hAnsi="Times New Roman"/>
        <w:b/>
        <w:sz w:val="24"/>
      </w:rPr>
      <w:instrText xml:space="preserve"> PAGE </w:instrText>
    </w:r>
    <w:r>
      <w:rPr>
        <w:rStyle w:val="PageNumber"/>
        <w:rFonts w:ascii="Times New Roman" w:hAnsi="Times New Roman"/>
        <w:b/>
        <w:sz w:val="24"/>
      </w:rPr>
      <w:fldChar w:fldCharType="separate"/>
    </w:r>
    <w:r>
      <w:rPr>
        <w:rStyle w:val="PageNumber"/>
        <w:rFonts w:ascii="Times New Roman" w:hAnsi="Times New Roman"/>
        <w:b/>
        <w:noProof/>
        <w:sz w:val="24"/>
      </w:rPr>
      <w:t>62</w:t>
    </w:r>
    <w:r>
      <w:rPr>
        <w:rStyle w:val="PageNumber"/>
        <w:rFonts w:ascii="Times New Roman" w:hAnsi="Times New Roman"/>
        <w:b/>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5F210" w14:textId="77777777" w:rsidR="001E5D2D" w:rsidRDefault="001E5D2D">
      <w:r>
        <w:rPr>
          <w:sz w:val="24"/>
        </w:rPr>
        <w:separator/>
      </w:r>
    </w:p>
  </w:footnote>
  <w:footnote w:type="continuationSeparator" w:id="0">
    <w:p w14:paraId="6E6322E6" w14:textId="77777777" w:rsidR="001E5D2D" w:rsidRDefault="001E5D2D">
      <w:r>
        <w:continuationSeparator/>
      </w:r>
    </w:p>
  </w:footnote>
  <w:footnote w:id="1">
    <w:p w14:paraId="4778762F" w14:textId="77777777"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w:t>
      </w:r>
      <w:r w:rsidRPr="00DC7161">
        <w:rPr>
          <w:rFonts w:ascii="Times New Roman" w:hAnsi="Times New Roman"/>
          <w:i/>
          <w:sz w:val="24"/>
        </w:rPr>
        <w:t xml:space="preserve">See </w:t>
      </w:r>
      <w:r>
        <w:rPr>
          <w:rFonts w:ascii="Times New Roman" w:hAnsi="Times New Roman"/>
          <w:i/>
          <w:iCs/>
          <w:sz w:val="24"/>
        </w:rPr>
        <w:t>N.J.S.A.</w:t>
      </w:r>
      <w:r>
        <w:rPr>
          <w:rFonts w:ascii="Times New Roman" w:hAnsi="Times New Roman"/>
          <w:sz w:val="24"/>
        </w:rPr>
        <w:t xml:space="preserve"> 2A:58C-4.  </w:t>
      </w:r>
    </w:p>
  </w:footnote>
  <w:footnote w:id="2">
    <w:p w14:paraId="735ABCC4" w14:textId="1E5985FA" w:rsidR="00976E86" w:rsidRPr="00221E14" w:rsidRDefault="00976E86">
      <w:pPr>
        <w:spacing w:after="120"/>
        <w:jc w:val="both"/>
        <w:rPr>
          <w:rFonts w:ascii="Times New Roman" w:hAnsi="Times New Roman"/>
          <w:sz w:val="24"/>
          <w:szCs w:val="24"/>
        </w:rPr>
      </w:pPr>
      <w:r>
        <w:rPr>
          <w:rStyle w:val="FootnoteReference"/>
          <w:rFonts w:ascii="Times New Roman" w:hAnsi="Times New Roman"/>
          <w:sz w:val="24"/>
        </w:rPr>
        <w:footnoteRef/>
      </w:r>
      <w:r>
        <w:rPr>
          <w:rFonts w:ascii="Times New Roman" w:hAnsi="Times New Roman"/>
          <w:sz w:val="24"/>
        </w:rPr>
        <w:t xml:space="preserve">  </w:t>
      </w:r>
      <w:r w:rsidRPr="007E13CE">
        <w:rPr>
          <w:rFonts w:ascii="Times New Roman" w:hAnsi="Times New Roman"/>
          <w:sz w:val="24"/>
          <w:szCs w:val="24"/>
        </w:rPr>
        <w:t xml:space="preserve">For the extent of this duty, </w:t>
      </w:r>
      <w:r w:rsidRPr="007E13CE">
        <w:rPr>
          <w:rFonts w:ascii="Times New Roman" w:hAnsi="Times New Roman"/>
          <w:i/>
          <w:sz w:val="24"/>
          <w:szCs w:val="24"/>
        </w:rPr>
        <w:t>see</w:t>
      </w:r>
      <w:r w:rsidRPr="007E13CE">
        <w:rPr>
          <w:rFonts w:ascii="Times New Roman" w:hAnsi="Times New Roman"/>
          <w:sz w:val="24"/>
          <w:szCs w:val="24"/>
        </w:rPr>
        <w:t xml:space="preserve"> </w:t>
      </w:r>
      <w:r w:rsidRPr="007E13CE">
        <w:rPr>
          <w:rFonts w:ascii="Times New Roman" w:hAnsi="Times New Roman"/>
          <w:i/>
          <w:iCs/>
          <w:sz w:val="24"/>
          <w:szCs w:val="24"/>
        </w:rPr>
        <w:t>Michalko v. Cooke Color and Chemical Corp.</w:t>
      </w:r>
      <w:r w:rsidRPr="007E13CE">
        <w:rPr>
          <w:rFonts w:ascii="Times New Roman" w:hAnsi="Times New Roman"/>
          <w:sz w:val="24"/>
          <w:szCs w:val="24"/>
        </w:rPr>
        <w:t xml:space="preserve">, 9l </w:t>
      </w:r>
      <w:r w:rsidRPr="007E13CE">
        <w:rPr>
          <w:rFonts w:ascii="Times New Roman" w:hAnsi="Times New Roman"/>
          <w:i/>
          <w:iCs/>
          <w:sz w:val="24"/>
          <w:szCs w:val="24"/>
        </w:rPr>
        <w:t>N.J.</w:t>
      </w:r>
      <w:r w:rsidRPr="007E13CE">
        <w:rPr>
          <w:rFonts w:ascii="Times New Roman" w:hAnsi="Times New Roman"/>
          <w:sz w:val="24"/>
          <w:szCs w:val="24"/>
        </w:rPr>
        <w:t xml:space="preserve"> 386 (l982)</w:t>
      </w:r>
      <w:r w:rsidR="00D75234">
        <w:rPr>
          <w:rFonts w:ascii="Times New Roman" w:hAnsi="Times New Roman"/>
          <w:sz w:val="24"/>
          <w:szCs w:val="24"/>
        </w:rPr>
        <w:t xml:space="preserve">. </w:t>
      </w:r>
      <w:r w:rsidR="00D75234" w:rsidRPr="0069616E">
        <w:rPr>
          <w:rFonts w:ascii="Times New Roman" w:hAnsi="Times New Roman"/>
          <w:sz w:val="24"/>
          <w:szCs w:val="24"/>
        </w:rPr>
        <w:t xml:space="preserve">For failure to warn in asbestos cases, </w:t>
      </w:r>
      <w:r w:rsidR="00D75234" w:rsidRPr="0069616E">
        <w:rPr>
          <w:rFonts w:ascii="Times New Roman" w:hAnsi="Times New Roman"/>
          <w:i/>
          <w:iCs/>
          <w:sz w:val="24"/>
          <w:szCs w:val="24"/>
        </w:rPr>
        <w:t>see</w:t>
      </w:r>
      <w:r w:rsidR="003979DA" w:rsidRPr="00D75234">
        <w:rPr>
          <w:rFonts w:ascii="Times New Roman" w:hAnsi="Times New Roman"/>
          <w:i/>
          <w:iCs/>
          <w:sz w:val="24"/>
          <w:szCs w:val="24"/>
        </w:rPr>
        <w:t xml:space="preserve"> Fowler v. Akzo Nobel Chem</w:t>
      </w:r>
      <w:r w:rsidR="0069616E">
        <w:rPr>
          <w:rFonts w:ascii="Times New Roman" w:hAnsi="Times New Roman"/>
          <w:i/>
          <w:iCs/>
          <w:sz w:val="24"/>
          <w:szCs w:val="24"/>
        </w:rPr>
        <w:t>icals,</w:t>
      </w:r>
      <w:r w:rsidR="003979DA" w:rsidRPr="00D75234">
        <w:rPr>
          <w:rFonts w:ascii="Times New Roman" w:hAnsi="Times New Roman"/>
          <w:i/>
          <w:iCs/>
          <w:sz w:val="24"/>
          <w:szCs w:val="24"/>
        </w:rPr>
        <w:t xml:space="preserve"> Inc., </w:t>
      </w:r>
      <w:r w:rsidR="003979DA" w:rsidRPr="00B24673">
        <w:rPr>
          <w:rFonts w:ascii="Times New Roman" w:hAnsi="Times New Roman"/>
          <w:sz w:val="24"/>
          <w:szCs w:val="24"/>
        </w:rPr>
        <w:t>251</w:t>
      </w:r>
      <w:r w:rsidR="003979DA" w:rsidRPr="00D75234">
        <w:rPr>
          <w:rFonts w:ascii="Times New Roman" w:hAnsi="Times New Roman"/>
          <w:i/>
          <w:iCs/>
          <w:sz w:val="24"/>
          <w:szCs w:val="24"/>
        </w:rPr>
        <w:t xml:space="preserve"> N.J. </w:t>
      </w:r>
      <w:r w:rsidR="003979DA" w:rsidRPr="00B24673">
        <w:rPr>
          <w:rFonts w:ascii="Times New Roman" w:hAnsi="Times New Roman"/>
          <w:sz w:val="24"/>
          <w:szCs w:val="24"/>
        </w:rPr>
        <w:t>300</w:t>
      </w:r>
      <w:r w:rsidR="003979DA" w:rsidRPr="00D75234">
        <w:rPr>
          <w:rFonts w:ascii="Times New Roman" w:hAnsi="Times New Roman"/>
          <w:i/>
          <w:iCs/>
          <w:sz w:val="24"/>
          <w:szCs w:val="24"/>
        </w:rPr>
        <w:t xml:space="preserve"> </w:t>
      </w:r>
      <w:r w:rsidR="003979DA" w:rsidRPr="0069616E">
        <w:rPr>
          <w:rFonts w:ascii="Times New Roman" w:hAnsi="Times New Roman"/>
          <w:sz w:val="24"/>
          <w:szCs w:val="24"/>
        </w:rPr>
        <w:t>(2022)</w:t>
      </w:r>
      <w:r w:rsidR="0069616E">
        <w:rPr>
          <w:rFonts w:ascii="Times New Roman" w:hAnsi="Times New Roman"/>
          <w:sz w:val="24"/>
          <w:szCs w:val="24"/>
        </w:rPr>
        <w:t>.</w:t>
      </w:r>
      <w:r w:rsidR="00221E14">
        <w:rPr>
          <w:rFonts w:ascii="Times New Roman" w:hAnsi="Times New Roman"/>
          <w:sz w:val="24"/>
          <w:szCs w:val="24"/>
        </w:rPr>
        <w:t xml:space="preserve">  For duty in the context of a manufacturer/distributor of a product that, by their design, require the replacement of asbestos-containing components with other asbestos-containing components, </w:t>
      </w:r>
      <w:r w:rsidR="00221E14" w:rsidRPr="00FF2F0D">
        <w:rPr>
          <w:rFonts w:ascii="Times New Roman" w:hAnsi="Times New Roman"/>
          <w:i/>
          <w:iCs/>
          <w:sz w:val="24"/>
          <w:szCs w:val="24"/>
        </w:rPr>
        <w:t>see</w:t>
      </w:r>
      <w:r w:rsidR="00221E14">
        <w:rPr>
          <w:rFonts w:ascii="Times New Roman" w:hAnsi="Times New Roman"/>
          <w:sz w:val="24"/>
          <w:szCs w:val="24"/>
        </w:rPr>
        <w:t xml:space="preserve"> </w:t>
      </w:r>
      <w:r w:rsidR="00221E14" w:rsidRPr="00FF2F0D">
        <w:rPr>
          <w:rFonts w:ascii="Times New Roman" w:hAnsi="Times New Roman"/>
          <w:i/>
          <w:iCs/>
          <w:sz w:val="24"/>
          <w:szCs w:val="24"/>
        </w:rPr>
        <w:t>Whelan v. Armstrong International, Inc.</w:t>
      </w:r>
      <w:r w:rsidR="00221E14">
        <w:rPr>
          <w:rFonts w:ascii="Times New Roman" w:hAnsi="Times New Roman"/>
          <w:sz w:val="24"/>
          <w:szCs w:val="24"/>
        </w:rPr>
        <w:t xml:space="preserve">, 242 </w:t>
      </w:r>
      <w:r w:rsidR="00221E14" w:rsidRPr="00FF2F0D">
        <w:rPr>
          <w:rFonts w:ascii="Times New Roman" w:hAnsi="Times New Roman"/>
          <w:i/>
          <w:iCs/>
          <w:sz w:val="24"/>
          <w:szCs w:val="24"/>
        </w:rPr>
        <w:t>N.J.</w:t>
      </w:r>
      <w:r w:rsidR="00221E14">
        <w:rPr>
          <w:rFonts w:ascii="Times New Roman" w:hAnsi="Times New Roman"/>
          <w:sz w:val="24"/>
          <w:szCs w:val="24"/>
        </w:rPr>
        <w:t xml:space="preserve"> 311 (2020).</w:t>
      </w:r>
    </w:p>
  </w:footnote>
  <w:footnote w:id="3">
    <w:p w14:paraId="7B08A748" w14:textId="77777777" w:rsidR="00976E86" w:rsidRPr="007E13CE" w:rsidRDefault="00976E86">
      <w:pPr>
        <w:spacing w:after="120"/>
        <w:jc w:val="both"/>
        <w:rPr>
          <w:rFonts w:ascii="Times New Roman" w:hAnsi="Times New Roman"/>
          <w:sz w:val="24"/>
          <w:szCs w:val="24"/>
        </w:rPr>
      </w:pPr>
      <w:r w:rsidRPr="007E13CE">
        <w:rPr>
          <w:rStyle w:val="FootnoteReference"/>
          <w:rFonts w:ascii="Times New Roman" w:hAnsi="Times New Roman"/>
          <w:sz w:val="24"/>
          <w:szCs w:val="24"/>
        </w:rPr>
        <w:footnoteRef/>
      </w:r>
      <w:r w:rsidRPr="007E13CE">
        <w:rPr>
          <w:rFonts w:ascii="Times New Roman" w:hAnsi="Times New Roman"/>
          <w:sz w:val="24"/>
          <w:szCs w:val="24"/>
        </w:rPr>
        <w:t xml:space="preserve">  If the product is a prescription drug, insert the following:  </w:t>
      </w:r>
    </w:p>
    <w:p w14:paraId="16066D92" w14:textId="77777777" w:rsidR="00976E86" w:rsidRPr="007E13CE" w:rsidRDefault="00976E86" w:rsidP="00DC7161">
      <w:pPr>
        <w:spacing w:after="120"/>
        <w:ind w:left="810" w:right="1440"/>
        <w:jc w:val="both"/>
        <w:rPr>
          <w:rFonts w:ascii="Times New Roman" w:hAnsi="Times New Roman"/>
          <w:sz w:val="24"/>
          <w:szCs w:val="24"/>
        </w:rPr>
      </w:pPr>
      <w:r w:rsidRPr="007E13CE">
        <w:rPr>
          <w:rFonts w:ascii="Times New Roman" w:hAnsi="Times New Roman"/>
          <w:sz w:val="24"/>
          <w:szCs w:val="24"/>
        </w:rPr>
        <w:t xml:space="preserve">In the case of a prescription drug, the warning must be one that a reasonably prudent manufacturer would have provided to adequately communicate information on the dangers and safe use of the product to physicians, </w:t>
      </w:r>
      <w:proofErr w:type="gramStart"/>
      <w:r w:rsidRPr="007E13CE">
        <w:rPr>
          <w:rFonts w:ascii="Times New Roman" w:hAnsi="Times New Roman"/>
          <w:sz w:val="24"/>
          <w:szCs w:val="24"/>
        </w:rPr>
        <w:t>taking into account</w:t>
      </w:r>
      <w:proofErr w:type="gramEnd"/>
      <w:r w:rsidRPr="007E13CE">
        <w:rPr>
          <w:rFonts w:ascii="Times New Roman" w:hAnsi="Times New Roman"/>
          <w:sz w:val="24"/>
          <w:szCs w:val="24"/>
        </w:rPr>
        <w:t xml:space="preserve"> the characteristics of, and the ordinary knowledge common to, such prescribing physicians.  </w:t>
      </w:r>
    </w:p>
    <w:p w14:paraId="0FA6299F" w14:textId="77777777" w:rsidR="00976E86" w:rsidRPr="007E13CE" w:rsidRDefault="00976E86" w:rsidP="00DC7161">
      <w:pPr>
        <w:spacing w:after="120"/>
        <w:ind w:firstLine="180"/>
        <w:jc w:val="both"/>
        <w:rPr>
          <w:rFonts w:ascii="Times New Roman" w:hAnsi="Times New Roman"/>
          <w:sz w:val="24"/>
          <w:szCs w:val="24"/>
        </w:rPr>
      </w:pPr>
      <w:r w:rsidRPr="007E13CE">
        <w:rPr>
          <w:rFonts w:ascii="Times New Roman" w:hAnsi="Times New Roman"/>
          <w:i/>
          <w:sz w:val="24"/>
          <w:szCs w:val="24"/>
        </w:rPr>
        <w:t>See</w:t>
      </w:r>
      <w:r w:rsidRPr="007E13CE">
        <w:rPr>
          <w:rFonts w:ascii="Times New Roman" w:hAnsi="Times New Roman"/>
          <w:i/>
          <w:iCs/>
          <w:sz w:val="24"/>
          <w:szCs w:val="24"/>
        </w:rPr>
        <w:t xml:space="preserve"> N.J.S.A.</w:t>
      </w:r>
      <w:r w:rsidRPr="007E13CE">
        <w:rPr>
          <w:rFonts w:ascii="Times New Roman" w:hAnsi="Times New Roman"/>
          <w:sz w:val="24"/>
          <w:szCs w:val="24"/>
        </w:rPr>
        <w:t xml:space="preserve"> 2A:58C-4 regarding the effect of FDA approval upon a warning or instruction given for a prescription drug.  </w:t>
      </w:r>
      <w:r w:rsidRPr="007E13CE">
        <w:rPr>
          <w:rFonts w:ascii="Times New Roman" w:hAnsi="Times New Roman"/>
          <w:i/>
          <w:sz w:val="24"/>
          <w:szCs w:val="24"/>
        </w:rPr>
        <w:t xml:space="preserve">See also </w:t>
      </w:r>
      <w:r w:rsidRPr="007E13CE">
        <w:rPr>
          <w:rFonts w:ascii="Times New Roman" w:hAnsi="Times New Roman"/>
          <w:i/>
          <w:iCs/>
          <w:sz w:val="24"/>
          <w:szCs w:val="24"/>
        </w:rPr>
        <w:t>Feldman v. Lederle Laboratories</w:t>
      </w:r>
      <w:r w:rsidRPr="007E13CE">
        <w:rPr>
          <w:rFonts w:ascii="Times New Roman" w:hAnsi="Times New Roman"/>
          <w:sz w:val="24"/>
          <w:szCs w:val="24"/>
        </w:rPr>
        <w:t xml:space="preserve">, 125 </w:t>
      </w:r>
      <w:r w:rsidRPr="007E13CE">
        <w:rPr>
          <w:rFonts w:ascii="Times New Roman" w:hAnsi="Times New Roman"/>
          <w:i/>
          <w:iCs/>
          <w:sz w:val="24"/>
          <w:szCs w:val="24"/>
        </w:rPr>
        <w:t>N.J.</w:t>
      </w:r>
      <w:r w:rsidRPr="007E13CE">
        <w:rPr>
          <w:rFonts w:ascii="Times New Roman" w:hAnsi="Times New Roman"/>
          <w:sz w:val="24"/>
          <w:szCs w:val="24"/>
        </w:rPr>
        <w:t xml:space="preserve"> 117 (l991).  </w:t>
      </w:r>
    </w:p>
  </w:footnote>
  <w:footnote w:id="4">
    <w:p w14:paraId="74977959" w14:textId="77777777"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w:t>
      </w:r>
      <w:r w:rsidRPr="00DC7161">
        <w:rPr>
          <w:rFonts w:ascii="Times New Roman" w:hAnsi="Times New Roman"/>
          <w:i/>
          <w:sz w:val="24"/>
        </w:rPr>
        <w:t xml:space="preserve">See </w:t>
      </w:r>
      <w:r>
        <w:rPr>
          <w:rFonts w:ascii="Times New Roman" w:hAnsi="Times New Roman"/>
          <w:i/>
          <w:iCs/>
          <w:sz w:val="24"/>
        </w:rPr>
        <w:t>Feldman v. Lederle Laboratories</w:t>
      </w:r>
      <w:r>
        <w:rPr>
          <w:rFonts w:ascii="Times New Roman" w:hAnsi="Times New Roman"/>
          <w:sz w:val="24"/>
        </w:rPr>
        <w:t xml:space="preserve">, 97 </w:t>
      </w:r>
      <w:r>
        <w:rPr>
          <w:rFonts w:ascii="Times New Roman" w:hAnsi="Times New Roman"/>
          <w:i/>
          <w:iCs/>
          <w:sz w:val="24"/>
        </w:rPr>
        <w:t>N.J.</w:t>
      </w:r>
      <w:r>
        <w:rPr>
          <w:rFonts w:ascii="Times New Roman" w:hAnsi="Times New Roman"/>
          <w:sz w:val="24"/>
        </w:rPr>
        <w:t xml:space="preserve"> 429 (l984).  </w:t>
      </w:r>
    </w:p>
  </w:footnote>
  <w:footnote w:id="5">
    <w:p w14:paraId="72173B32" w14:textId="77777777"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w:t>
      </w:r>
      <w:r w:rsidRPr="00DC7161">
        <w:rPr>
          <w:rFonts w:ascii="Times New Roman" w:hAnsi="Times New Roman"/>
          <w:i/>
          <w:sz w:val="24"/>
        </w:rPr>
        <w:t>See</w:t>
      </w:r>
      <w:r>
        <w:rPr>
          <w:rFonts w:ascii="Times New Roman" w:hAnsi="Times New Roman"/>
          <w:sz w:val="24"/>
        </w:rPr>
        <w:t xml:space="preserve"> </w:t>
      </w:r>
      <w:r>
        <w:rPr>
          <w:rFonts w:ascii="Times New Roman" w:hAnsi="Times New Roman"/>
          <w:i/>
          <w:iCs/>
          <w:sz w:val="24"/>
        </w:rPr>
        <w:t>Feldman</w:t>
      </w:r>
      <w:r>
        <w:rPr>
          <w:rFonts w:ascii="Times New Roman" w:hAnsi="Times New Roman"/>
          <w:sz w:val="24"/>
        </w:rPr>
        <w:t>,</w:t>
      </w:r>
      <w:r>
        <w:rPr>
          <w:rFonts w:ascii="Times New Roman" w:hAnsi="Times New Roman"/>
          <w:i/>
          <w:iCs/>
          <w:sz w:val="24"/>
        </w:rPr>
        <w:t xml:space="preserve"> supra</w:t>
      </w:r>
      <w:r>
        <w:rPr>
          <w:rFonts w:ascii="Times New Roman" w:hAnsi="Times New Roman"/>
          <w:sz w:val="24"/>
        </w:rPr>
        <w:t xml:space="preserve">, footnote 10.  </w:t>
      </w:r>
    </w:p>
  </w:footnote>
  <w:footnote w:id="6">
    <w:p w14:paraId="0046F4B7" w14:textId="77777777" w:rsidR="00976E86" w:rsidRDefault="00976E86" w:rsidP="00DD6C93">
      <w:pPr>
        <w:widowControl/>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There is a post-sale duty to warn.  </w:t>
      </w:r>
      <w:r w:rsidRPr="00DC7161">
        <w:rPr>
          <w:rFonts w:ascii="Times New Roman" w:hAnsi="Times New Roman"/>
          <w:i/>
          <w:sz w:val="24"/>
        </w:rPr>
        <w:t xml:space="preserve">See </w:t>
      </w:r>
      <w:r>
        <w:rPr>
          <w:rFonts w:ascii="Times New Roman" w:hAnsi="Times New Roman"/>
          <w:i/>
          <w:iCs/>
          <w:sz w:val="24"/>
        </w:rPr>
        <w:t>Feldman v. Lederle Laboratories</w:t>
      </w:r>
      <w:r>
        <w:rPr>
          <w:rFonts w:ascii="Times New Roman" w:hAnsi="Times New Roman"/>
          <w:sz w:val="24"/>
        </w:rPr>
        <w:t xml:space="preserve">, 97 </w:t>
      </w:r>
      <w:r>
        <w:rPr>
          <w:rFonts w:ascii="Times New Roman" w:hAnsi="Times New Roman"/>
          <w:i/>
          <w:iCs/>
          <w:sz w:val="24"/>
        </w:rPr>
        <w:t>N.J.</w:t>
      </w:r>
      <w:r>
        <w:rPr>
          <w:rFonts w:ascii="Times New Roman" w:hAnsi="Times New Roman"/>
          <w:sz w:val="24"/>
        </w:rPr>
        <w:t xml:space="preserve"> 429 (l984); </w:t>
      </w:r>
      <w:r>
        <w:rPr>
          <w:rFonts w:ascii="Times New Roman" w:hAnsi="Times New Roman"/>
          <w:i/>
          <w:iCs/>
          <w:sz w:val="24"/>
        </w:rPr>
        <w:t>Dixon v. Jacobsen Manufacturing Co.</w:t>
      </w:r>
      <w:r>
        <w:rPr>
          <w:rFonts w:ascii="Times New Roman" w:hAnsi="Times New Roman"/>
          <w:sz w:val="24"/>
        </w:rPr>
        <w:t xml:space="preserve">, 270 </w:t>
      </w:r>
      <w:r>
        <w:rPr>
          <w:rFonts w:ascii="Times New Roman" w:hAnsi="Times New Roman"/>
          <w:i/>
          <w:iCs/>
          <w:sz w:val="24"/>
        </w:rPr>
        <w:t>N.J.</w:t>
      </w:r>
      <w:r>
        <w:rPr>
          <w:rFonts w:ascii="Times New Roman" w:hAnsi="Times New Roman"/>
          <w:sz w:val="24"/>
        </w:rPr>
        <w:t xml:space="preserve"> </w:t>
      </w:r>
      <w:r>
        <w:rPr>
          <w:rFonts w:ascii="Times New Roman" w:hAnsi="Times New Roman"/>
          <w:i/>
          <w:iCs/>
          <w:sz w:val="24"/>
        </w:rPr>
        <w:t>Super.</w:t>
      </w:r>
      <w:r>
        <w:rPr>
          <w:rFonts w:ascii="Times New Roman" w:hAnsi="Times New Roman"/>
          <w:sz w:val="24"/>
        </w:rPr>
        <w:t xml:space="preserve"> 569 (App. Div. l994); </w:t>
      </w:r>
      <w:r>
        <w:rPr>
          <w:rFonts w:ascii="Times New Roman" w:hAnsi="Times New Roman"/>
          <w:i/>
          <w:iCs/>
          <w:sz w:val="24"/>
        </w:rPr>
        <w:t>Seeley v. Cincinnati Shaper Co., Ltd.</w:t>
      </w:r>
      <w:r>
        <w:rPr>
          <w:rFonts w:ascii="Times New Roman" w:hAnsi="Times New Roman"/>
          <w:sz w:val="24"/>
        </w:rPr>
        <w:t xml:space="preserve">, 256 </w:t>
      </w:r>
      <w:r>
        <w:rPr>
          <w:rFonts w:ascii="Times New Roman" w:hAnsi="Times New Roman"/>
          <w:i/>
          <w:iCs/>
          <w:sz w:val="24"/>
        </w:rPr>
        <w:t>N.J.</w:t>
      </w:r>
      <w:r>
        <w:rPr>
          <w:rFonts w:ascii="Times New Roman" w:hAnsi="Times New Roman"/>
          <w:sz w:val="24"/>
        </w:rPr>
        <w:t xml:space="preserve"> </w:t>
      </w:r>
      <w:r>
        <w:rPr>
          <w:rFonts w:ascii="Times New Roman" w:hAnsi="Times New Roman"/>
          <w:i/>
          <w:iCs/>
          <w:sz w:val="24"/>
        </w:rPr>
        <w:t>Super.</w:t>
      </w:r>
      <w:r>
        <w:rPr>
          <w:rFonts w:ascii="Times New Roman" w:hAnsi="Times New Roman"/>
          <w:sz w:val="24"/>
        </w:rPr>
        <w:t xml:space="preserve"> l (l992); and New Jersey Product Liability Act, </w:t>
      </w:r>
      <w:r w:rsidRPr="00DC7161">
        <w:rPr>
          <w:rFonts w:ascii="Times New Roman" w:hAnsi="Times New Roman"/>
          <w:i/>
          <w:sz w:val="24"/>
        </w:rPr>
        <w:t>N.J.S.A</w:t>
      </w:r>
      <w:r>
        <w:rPr>
          <w:rFonts w:ascii="Times New Roman" w:hAnsi="Times New Roman"/>
          <w:sz w:val="24"/>
        </w:rPr>
        <w:t xml:space="preserve">. 58-l </w:t>
      </w:r>
      <w:r>
        <w:rPr>
          <w:rFonts w:ascii="Times New Roman" w:hAnsi="Times New Roman"/>
          <w:i/>
          <w:iCs/>
          <w:sz w:val="24"/>
        </w:rPr>
        <w:t>et seq.</w:t>
      </w:r>
      <w:r>
        <w:rPr>
          <w:rFonts w:ascii="Times New Roman" w:hAnsi="Times New Roman"/>
          <w:sz w:val="24"/>
        </w:rPr>
        <w:t xml:space="preserve">, section four.  </w:t>
      </w:r>
    </w:p>
  </w:footnote>
  <w:footnote w:id="7">
    <w:p w14:paraId="3D26B439" w14:textId="77777777"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w:t>
      </w:r>
      <w:r w:rsidRPr="00DC7161">
        <w:rPr>
          <w:rFonts w:ascii="Times New Roman" w:hAnsi="Times New Roman"/>
          <w:i/>
          <w:sz w:val="24"/>
        </w:rPr>
        <w:t xml:space="preserve">See </w:t>
      </w:r>
      <w:r>
        <w:rPr>
          <w:rFonts w:ascii="Times New Roman" w:hAnsi="Times New Roman"/>
          <w:i/>
          <w:iCs/>
          <w:sz w:val="24"/>
        </w:rPr>
        <w:t>Soler v. Casemaster,</w:t>
      </w:r>
      <w:r>
        <w:rPr>
          <w:rFonts w:ascii="Times New Roman" w:hAnsi="Times New Roman"/>
          <w:sz w:val="24"/>
        </w:rPr>
        <w:t xml:space="preserve"> </w:t>
      </w:r>
      <w:r>
        <w:rPr>
          <w:rFonts w:ascii="Times New Roman" w:hAnsi="Times New Roman"/>
          <w:i/>
          <w:iCs/>
          <w:sz w:val="24"/>
        </w:rPr>
        <w:t>Div. of the H.P.M. Corp</w:t>
      </w:r>
      <w:r>
        <w:rPr>
          <w:rFonts w:ascii="Times New Roman" w:hAnsi="Times New Roman"/>
          <w:sz w:val="24"/>
        </w:rPr>
        <w:t xml:space="preserve">., 98 </w:t>
      </w:r>
      <w:r>
        <w:rPr>
          <w:rFonts w:ascii="Times New Roman" w:hAnsi="Times New Roman"/>
          <w:i/>
          <w:iCs/>
          <w:sz w:val="24"/>
        </w:rPr>
        <w:t>N.J.</w:t>
      </w:r>
      <w:r>
        <w:rPr>
          <w:rFonts w:ascii="Times New Roman" w:hAnsi="Times New Roman"/>
          <w:sz w:val="24"/>
        </w:rPr>
        <w:t xml:space="preserve"> 137 (l984); </w:t>
      </w:r>
      <w:r>
        <w:rPr>
          <w:rFonts w:ascii="Times New Roman" w:hAnsi="Times New Roman"/>
          <w:i/>
          <w:iCs/>
          <w:sz w:val="24"/>
        </w:rPr>
        <w:t>Brown v. United States Stove Co.</w:t>
      </w:r>
      <w:r>
        <w:rPr>
          <w:rFonts w:ascii="Times New Roman" w:hAnsi="Times New Roman"/>
          <w:sz w:val="24"/>
        </w:rPr>
        <w:t xml:space="preserve">, 98 </w:t>
      </w:r>
      <w:r>
        <w:rPr>
          <w:rFonts w:ascii="Times New Roman" w:hAnsi="Times New Roman"/>
          <w:i/>
          <w:iCs/>
          <w:sz w:val="24"/>
        </w:rPr>
        <w:t>N.J.</w:t>
      </w:r>
      <w:r>
        <w:rPr>
          <w:rFonts w:ascii="Times New Roman" w:hAnsi="Times New Roman"/>
          <w:sz w:val="24"/>
        </w:rPr>
        <w:t xml:space="preserve"> 155 (l984).  Note that an issue of alteration arises only if the particular facts indicate a substantial change relating to the safety of the product.  </w:t>
      </w:r>
      <w:r>
        <w:rPr>
          <w:rFonts w:ascii="Times New Roman" w:hAnsi="Times New Roman"/>
          <w:i/>
          <w:iCs/>
          <w:sz w:val="24"/>
        </w:rPr>
        <w:t>Soler</w:t>
      </w:r>
      <w:r>
        <w:rPr>
          <w:rFonts w:ascii="Times New Roman" w:hAnsi="Times New Roman"/>
          <w:sz w:val="24"/>
        </w:rPr>
        <w:t xml:space="preserve">, 98 </w:t>
      </w:r>
      <w:r>
        <w:rPr>
          <w:rFonts w:ascii="Times New Roman" w:hAnsi="Times New Roman"/>
          <w:i/>
          <w:iCs/>
          <w:sz w:val="24"/>
        </w:rPr>
        <w:t>N.J.</w:t>
      </w:r>
      <w:r>
        <w:rPr>
          <w:rFonts w:ascii="Times New Roman" w:hAnsi="Times New Roman"/>
          <w:sz w:val="24"/>
        </w:rPr>
        <w:t xml:space="preserve"> at 148.  Note further that the issue of misuse/abnormal use or substantial alteration, if present in a case, presents considerations bearing upon proximate cause.  </w:t>
      </w:r>
      <w:smartTag w:uri="urn:schemas-microsoft-com:office:smarttags" w:element="place">
        <w:smartTag w:uri="urn:schemas-microsoft-com:office:smarttags" w:element="State">
          <w:r>
            <w:rPr>
              <w:rFonts w:ascii="Times New Roman" w:hAnsi="Times New Roman"/>
              <w:i/>
              <w:iCs/>
              <w:sz w:val="24"/>
            </w:rPr>
            <w:t>Id.</w:t>
          </w:r>
        </w:smartTag>
      </w:smartTag>
      <w:r>
        <w:rPr>
          <w:rFonts w:ascii="Times New Roman" w:hAnsi="Times New Roman"/>
          <w:sz w:val="24"/>
        </w:rPr>
        <w:t xml:space="preserve"> at 149; </w:t>
      </w:r>
      <w:r>
        <w:rPr>
          <w:rFonts w:ascii="Times New Roman" w:hAnsi="Times New Roman"/>
          <w:i/>
          <w:iCs/>
          <w:sz w:val="24"/>
        </w:rPr>
        <w:t>Brown, supra</w:t>
      </w:r>
      <w:r>
        <w:rPr>
          <w:rFonts w:ascii="Times New Roman" w:hAnsi="Times New Roman"/>
          <w:sz w:val="24"/>
        </w:rPr>
        <w:t xml:space="preserve">, 98 </w:t>
      </w:r>
      <w:r>
        <w:rPr>
          <w:rFonts w:ascii="Times New Roman" w:hAnsi="Times New Roman"/>
          <w:i/>
          <w:iCs/>
          <w:sz w:val="24"/>
        </w:rPr>
        <w:t xml:space="preserve">N.J. </w:t>
      </w:r>
      <w:r>
        <w:rPr>
          <w:rFonts w:ascii="Times New Roman" w:hAnsi="Times New Roman"/>
          <w:sz w:val="24"/>
        </w:rPr>
        <w:t xml:space="preserve">at 171-174.  </w:t>
      </w:r>
      <w:r w:rsidRPr="00DC7161">
        <w:rPr>
          <w:rFonts w:ascii="Times New Roman" w:hAnsi="Times New Roman"/>
          <w:i/>
          <w:sz w:val="24"/>
        </w:rPr>
        <w:t xml:space="preserve">See also </w:t>
      </w:r>
      <w:r>
        <w:rPr>
          <w:rFonts w:ascii="Times New Roman" w:hAnsi="Times New Roman"/>
          <w:i/>
          <w:iCs/>
          <w:sz w:val="24"/>
        </w:rPr>
        <w:t>Fabian v. Minster Mach. Co., Inc.</w:t>
      </w:r>
      <w:r>
        <w:rPr>
          <w:rFonts w:ascii="Times New Roman" w:hAnsi="Times New Roman"/>
          <w:sz w:val="24"/>
        </w:rPr>
        <w:t xml:space="preserve">, 258 </w:t>
      </w:r>
      <w:r>
        <w:rPr>
          <w:rFonts w:ascii="Times New Roman" w:hAnsi="Times New Roman"/>
          <w:i/>
          <w:iCs/>
          <w:sz w:val="24"/>
        </w:rPr>
        <w:t xml:space="preserve">N.J. Super. </w:t>
      </w:r>
      <w:r>
        <w:rPr>
          <w:rFonts w:ascii="Times New Roman" w:hAnsi="Times New Roman"/>
          <w:sz w:val="24"/>
        </w:rPr>
        <w:t xml:space="preserve">261 at 277 footnote 5.  </w:t>
      </w:r>
    </w:p>
  </w:footnote>
  <w:footnote w:id="8">
    <w:p w14:paraId="10DCBAD7" w14:textId="77777777"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Where there is an issue of misuse/abnormal use or substantial alteration, a jury need not consider the presence of a defect unless it resolves the element of foreseeability against the defendant(s).  In such a case, the trial judge might consider altering the charge so that misuse/abnormal use or substantial alteration is charged first.  </w:t>
      </w:r>
    </w:p>
  </w:footnote>
  <w:footnote w:id="9">
    <w:p w14:paraId="7EF87A95" w14:textId="77777777"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i/>
          <w:iCs/>
          <w:sz w:val="24"/>
        </w:rPr>
        <w:t xml:space="preserve">  Brown, supra</w:t>
      </w:r>
      <w:r>
        <w:rPr>
          <w:rFonts w:ascii="Times New Roman" w:hAnsi="Times New Roman"/>
          <w:sz w:val="24"/>
        </w:rPr>
        <w:t xml:space="preserve">, 98 </w:t>
      </w:r>
      <w:r>
        <w:rPr>
          <w:rFonts w:ascii="Times New Roman" w:hAnsi="Times New Roman"/>
          <w:i/>
          <w:iCs/>
          <w:sz w:val="24"/>
        </w:rPr>
        <w:t>N.J.</w:t>
      </w:r>
      <w:r>
        <w:rPr>
          <w:rFonts w:ascii="Times New Roman" w:hAnsi="Times New Roman"/>
          <w:sz w:val="24"/>
        </w:rPr>
        <w:t xml:space="preserve"> at 169.  </w:t>
      </w:r>
    </w:p>
  </w:footnote>
  <w:footnote w:id="10">
    <w:p w14:paraId="1D8393FA" w14:textId="77777777"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This may be omitted if not in dispute.  </w:t>
      </w:r>
    </w:p>
  </w:footnote>
  <w:footnote w:id="11">
    <w:p w14:paraId="5BD09C62" w14:textId="6D5536A6"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In </w:t>
      </w:r>
      <w:r>
        <w:rPr>
          <w:rFonts w:ascii="Times New Roman" w:hAnsi="Times New Roman"/>
          <w:i/>
          <w:iCs/>
          <w:sz w:val="24"/>
        </w:rPr>
        <w:t>Coffman v. Keene Corp.</w:t>
      </w:r>
      <w:r>
        <w:rPr>
          <w:rFonts w:ascii="Times New Roman" w:hAnsi="Times New Roman"/>
          <w:sz w:val="24"/>
        </w:rPr>
        <w:t xml:space="preserve">, 133 </w:t>
      </w:r>
      <w:r>
        <w:rPr>
          <w:rFonts w:ascii="Times New Roman" w:hAnsi="Times New Roman"/>
          <w:i/>
          <w:iCs/>
          <w:sz w:val="24"/>
        </w:rPr>
        <w:t>N.J.</w:t>
      </w:r>
      <w:r>
        <w:rPr>
          <w:rFonts w:ascii="Times New Roman" w:hAnsi="Times New Roman"/>
          <w:sz w:val="24"/>
        </w:rPr>
        <w:t xml:space="preserve"> 581 (1993), and </w:t>
      </w:r>
      <w:r>
        <w:rPr>
          <w:rFonts w:ascii="Times New Roman" w:hAnsi="Times New Roman"/>
          <w:i/>
          <w:iCs/>
          <w:sz w:val="24"/>
        </w:rPr>
        <w:t>Theer v. Philip Carey Co.</w:t>
      </w:r>
      <w:r>
        <w:rPr>
          <w:rFonts w:ascii="Times New Roman" w:hAnsi="Times New Roman"/>
          <w:sz w:val="24"/>
        </w:rPr>
        <w:t xml:space="preserve">, 133 </w:t>
      </w:r>
      <w:r>
        <w:rPr>
          <w:rFonts w:ascii="Times New Roman" w:hAnsi="Times New Roman"/>
          <w:i/>
          <w:iCs/>
          <w:sz w:val="24"/>
        </w:rPr>
        <w:t>N.J.</w:t>
      </w:r>
      <w:r>
        <w:rPr>
          <w:rFonts w:ascii="Times New Roman" w:hAnsi="Times New Roman"/>
          <w:sz w:val="24"/>
        </w:rPr>
        <w:t xml:space="preserve"> 610 (l993), the Supreme Court adopted the heeding presumption which applies to all failure to warn and inadequate warning cases and provides plaintiff with a rebuttable presumption on the issue of proximate cause, </w:t>
      </w:r>
      <w:r>
        <w:rPr>
          <w:rFonts w:ascii="Times New Roman" w:hAnsi="Times New Roman"/>
          <w:i/>
          <w:iCs/>
          <w:sz w:val="24"/>
        </w:rPr>
        <w:t>i.e.</w:t>
      </w:r>
      <w:r>
        <w:rPr>
          <w:rFonts w:ascii="Times New Roman" w:hAnsi="Times New Roman"/>
          <w:sz w:val="24"/>
        </w:rPr>
        <w:t xml:space="preserve">, if a warning or instruction had been given, such warning or instruction would have been heeded by plaintiff.  In such cases, the burden of production on the issue of proximate cause shifts to the defendant to come forward with rebuttal evidence sufficient to demonstrate that a warning would have made known to plaintiff the danger of the product and not withstanding the knowledge imparted by the warning, plaintiff would have proceeded voluntarily and unreasonably to subject </w:t>
      </w:r>
      <w:r w:rsidR="00205651">
        <w:rPr>
          <w:rFonts w:ascii="Times New Roman" w:hAnsi="Times New Roman"/>
          <w:sz w:val="24"/>
        </w:rPr>
        <w:t xml:space="preserve">plaintiff </w:t>
      </w:r>
      <w:r>
        <w:rPr>
          <w:rFonts w:ascii="Times New Roman" w:hAnsi="Times New Roman"/>
          <w:sz w:val="24"/>
        </w:rPr>
        <w:t>to the dangerous product.</w:t>
      </w:r>
    </w:p>
    <w:p w14:paraId="6D0C4F23" w14:textId="77777777" w:rsidR="00976E86" w:rsidRDefault="00976E86">
      <w:pPr>
        <w:spacing w:after="120"/>
        <w:ind w:firstLine="720"/>
        <w:jc w:val="both"/>
        <w:rPr>
          <w:rFonts w:ascii="Times New Roman" w:hAnsi="Times New Roman"/>
          <w:sz w:val="24"/>
        </w:rPr>
      </w:pPr>
      <w:r>
        <w:rPr>
          <w:rFonts w:ascii="Times New Roman" w:hAnsi="Times New Roman"/>
          <w:sz w:val="24"/>
        </w:rPr>
        <w:t xml:space="preserve">If the defendant fails to meet this burden of production, the trial judge shall direct a verdict in plaintiff’s favor on this issue of proximate cause.  </w:t>
      </w:r>
    </w:p>
    <w:p w14:paraId="0C44F55E" w14:textId="77777777" w:rsidR="00976E86" w:rsidRDefault="00976E86">
      <w:pPr>
        <w:spacing w:after="120"/>
        <w:ind w:firstLine="720"/>
        <w:jc w:val="both"/>
        <w:rPr>
          <w:rFonts w:ascii="Times New Roman" w:hAnsi="Times New Roman"/>
          <w:sz w:val="24"/>
        </w:rPr>
      </w:pPr>
      <w:r>
        <w:rPr>
          <w:rFonts w:ascii="Times New Roman" w:hAnsi="Times New Roman"/>
          <w:sz w:val="24"/>
        </w:rPr>
        <w:t xml:space="preserve">If the defendant presents rebuttal evidence such that reasonable minds could differ as to whether the warning, if given, would have been heeded by the plaintiff, the defendant has satisfied its burden of production and plaintiff loses the benefit of the presumption.  The plaintiff must then carry the burden of proof (persuasion) as to this proximate cause.  </w:t>
      </w:r>
      <w:r>
        <w:rPr>
          <w:rFonts w:ascii="Times New Roman" w:hAnsi="Times New Roman"/>
          <w:i/>
          <w:iCs/>
          <w:sz w:val="24"/>
        </w:rPr>
        <w:t>Sharpe v. Bestop, Inc.</w:t>
      </w:r>
      <w:r>
        <w:rPr>
          <w:rFonts w:ascii="Times New Roman" w:hAnsi="Times New Roman"/>
          <w:sz w:val="24"/>
        </w:rPr>
        <w:t xml:space="preserve">, 314 </w:t>
      </w:r>
      <w:r>
        <w:rPr>
          <w:rFonts w:ascii="Times New Roman" w:hAnsi="Times New Roman"/>
          <w:i/>
          <w:iCs/>
          <w:sz w:val="24"/>
        </w:rPr>
        <w:t>N.J. Super.</w:t>
      </w:r>
      <w:r>
        <w:rPr>
          <w:rFonts w:ascii="Times New Roman" w:hAnsi="Times New Roman"/>
          <w:sz w:val="24"/>
        </w:rPr>
        <w:t xml:space="preserve"> 54 (App. Div. 1998); 157 </w:t>
      </w:r>
      <w:r>
        <w:rPr>
          <w:rFonts w:ascii="Times New Roman" w:hAnsi="Times New Roman"/>
          <w:i/>
          <w:iCs/>
          <w:sz w:val="24"/>
        </w:rPr>
        <w:t>N.J.</w:t>
      </w:r>
      <w:r>
        <w:rPr>
          <w:rFonts w:ascii="Times New Roman" w:hAnsi="Times New Roman"/>
          <w:sz w:val="24"/>
        </w:rPr>
        <w:t xml:space="preserve"> 545 (1999).  </w:t>
      </w:r>
    </w:p>
    <w:p w14:paraId="4C85D02B" w14:textId="6279D6B1" w:rsidR="00976E86" w:rsidRDefault="00976E86">
      <w:pPr>
        <w:spacing w:after="120"/>
        <w:ind w:firstLine="720"/>
        <w:jc w:val="both"/>
        <w:rPr>
          <w:rFonts w:ascii="Times New Roman" w:hAnsi="Times New Roman"/>
          <w:sz w:val="24"/>
        </w:rPr>
      </w:pPr>
      <w:r>
        <w:rPr>
          <w:rFonts w:ascii="Times New Roman" w:hAnsi="Times New Roman"/>
          <w:sz w:val="24"/>
        </w:rPr>
        <w:t xml:space="preserve">When the injury is sustained in the </w:t>
      </w:r>
      <w:r w:rsidR="00397D53">
        <w:rPr>
          <w:rFonts w:ascii="Times New Roman" w:hAnsi="Times New Roman"/>
          <w:sz w:val="24"/>
        </w:rPr>
        <w:t>workplace</w:t>
      </w:r>
      <w:r>
        <w:rPr>
          <w:rFonts w:ascii="Times New Roman" w:hAnsi="Times New Roman"/>
          <w:sz w:val="24"/>
        </w:rPr>
        <w:t xml:space="preserve">, the presumption and burden of the defendant is slightly different.  There the presumption contains a second tier.  The presumption is not only that the employee would have heeded the warning, but additionally that the employer would have heeded the warning and communicated it to the employees and enabled them to take precautions.  </w:t>
      </w:r>
      <w:r>
        <w:rPr>
          <w:rFonts w:ascii="Times New Roman" w:hAnsi="Times New Roman"/>
          <w:i/>
          <w:iCs/>
          <w:sz w:val="24"/>
        </w:rPr>
        <w:t>Theer v. Philip Carey Co</w:t>
      </w:r>
      <w:r>
        <w:rPr>
          <w:rFonts w:ascii="Times New Roman" w:hAnsi="Times New Roman"/>
          <w:sz w:val="24"/>
        </w:rPr>
        <w:t xml:space="preserve">., 133 </w:t>
      </w:r>
      <w:r>
        <w:rPr>
          <w:rFonts w:ascii="Times New Roman" w:hAnsi="Times New Roman"/>
          <w:i/>
          <w:iCs/>
          <w:sz w:val="24"/>
        </w:rPr>
        <w:t>N.J.</w:t>
      </w:r>
      <w:r>
        <w:rPr>
          <w:rFonts w:ascii="Times New Roman" w:hAnsi="Times New Roman"/>
          <w:sz w:val="24"/>
        </w:rPr>
        <w:t xml:space="preserve"> at 622.  The manufacturer/seller may overcome the presumption by proving that the employee or </w:t>
      </w:r>
      <w:r w:rsidR="003B6C42">
        <w:rPr>
          <w:rFonts w:ascii="Times New Roman" w:hAnsi="Times New Roman"/>
          <w:sz w:val="24"/>
        </w:rPr>
        <w:t>the employee’s</w:t>
      </w:r>
      <w:r>
        <w:rPr>
          <w:rFonts w:ascii="Times New Roman" w:hAnsi="Times New Roman"/>
          <w:sz w:val="24"/>
        </w:rPr>
        <w:t xml:space="preserve"> employer would have disregarded an adequate warning.  </w:t>
      </w:r>
      <w:r>
        <w:rPr>
          <w:rFonts w:ascii="Times New Roman" w:hAnsi="Times New Roman"/>
          <w:i/>
          <w:iCs/>
          <w:sz w:val="24"/>
        </w:rPr>
        <w:t>Coffman v. Keene Corp.</w:t>
      </w:r>
      <w:r>
        <w:rPr>
          <w:rFonts w:ascii="Times New Roman" w:hAnsi="Times New Roman"/>
          <w:sz w:val="24"/>
        </w:rPr>
        <w:t xml:space="preserve">, 133 </w:t>
      </w:r>
      <w:r>
        <w:rPr>
          <w:rFonts w:ascii="Times New Roman" w:hAnsi="Times New Roman"/>
          <w:i/>
          <w:iCs/>
          <w:sz w:val="24"/>
        </w:rPr>
        <w:t>N.J.</w:t>
      </w:r>
      <w:r>
        <w:rPr>
          <w:rFonts w:ascii="Times New Roman" w:hAnsi="Times New Roman"/>
          <w:sz w:val="24"/>
        </w:rPr>
        <w:t xml:space="preserve"> at 609.  Further, “the manufacturer must prove that had an adequate warning been provided, the plaintiff-employee with meaningful choice would not have heeded the warning.”  </w:t>
      </w:r>
      <w:smartTag w:uri="urn:schemas-microsoft-com:office:smarttags" w:element="State">
        <w:smartTag w:uri="urn:schemas-microsoft-com:office:smarttags" w:element="place">
          <w:r>
            <w:rPr>
              <w:rFonts w:ascii="Times New Roman" w:hAnsi="Times New Roman"/>
              <w:i/>
              <w:iCs/>
              <w:sz w:val="24"/>
            </w:rPr>
            <w:t>Id.</w:t>
          </w:r>
        </w:smartTag>
      </w:smartTag>
      <w:r>
        <w:rPr>
          <w:rFonts w:ascii="Times New Roman" w:hAnsi="Times New Roman"/>
          <w:sz w:val="24"/>
        </w:rPr>
        <w:t xml:space="preserve">  A meaningful choice requires that the plaintiff/employee not be in a position where </w:t>
      </w:r>
      <w:r w:rsidR="00205651">
        <w:rPr>
          <w:rFonts w:ascii="Times New Roman" w:hAnsi="Times New Roman"/>
          <w:sz w:val="24"/>
        </w:rPr>
        <w:t xml:space="preserve">plaintiff/employee </w:t>
      </w:r>
      <w:r>
        <w:rPr>
          <w:rFonts w:ascii="Times New Roman" w:hAnsi="Times New Roman"/>
          <w:sz w:val="24"/>
        </w:rPr>
        <w:t xml:space="preserve">is forced to work with the product or machine or lose their job.  </w:t>
      </w:r>
      <w:r>
        <w:rPr>
          <w:rFonts w:ascii="Times New Roman" w:hAnsi="Times New Roman"/>
          <w:i/>
          <w:iCs/>
          <w:sz w:val="24"/>
        </w:rPr>
        <w:t>Id</w:t>
      </w:r>
      <w:r>
        <w:rPr>
          <w:rFonts w:ascii="Times New Roman" w:hAnsi="Times New Roman"/>
          <w:sz w:val="24"/>
        </w:rPr>
        <w:t xml:space="preserve"> at 604.  </w:t>
      </w:r>
      <w:r>
        <w:rPr>
          <w:rFonts w:ascii="Times New Roman" w:hAnsi="Times New Roman"/>
          <w:i/>
          <w:iCs/>
          <w:sz w:val="24"/>
        </w:rPr>
        <w:t>See also Facendo v. S.M.S. Concast</w:t>
      </w:r>
      <w:r>
        <w:rPr>
          <w:rFonts w:ascii="Times New Roman" w:hAnsi="Times New Roman"/>
          <w:sz w:val="24"/>
        </w:rPr>
        <w:t xml:space="preserve">, 286 </w:t>
      </w:r>
      <w:r>
        <w:rPr>
          <w:rFonts w:ascii="Times New Roman" w:hAnsi="Times New Roman"/>
          <w:i/>
          <w:iCs/>
          <w:sz w:val="24"/>
        </w:rPr>
        <w:t>N.J. Super.</w:t>
      </w:r>
      <w:r>
        <w:rPr>
          <w:rFonts w:ascii="Times New Roman" w:hAnsi="Times New Roman"/>
          <w:sz w:val="24"/>
        </w:rPr>
        <w:t xml:space="preserve"> 575 (App. Div. 1996); </w:t>
      </w:r>
      <w:r>
        <w:rPr>
          <w:rFonts w:ascii="Times New Roman" w:hAnsi="Times New Roman"/>
          <w:i/>
          <w:iCs/>
          <w:sz w:val="24"/>
        </w:rPr>
        <w:t>Graves v. Church &amp; Dwight Co., Inc.</w:t>
      </w:r>
      <w:r>
        <w:rPr>
          <w:rFonts w:ascii="Times New Roman" w:hAnsi="Times New Roman"/>
          <w:sz w:val="24"/>
        </w:rPr>
        <w:t xml:space="preserve">, 267 </w:t>
      </w:r>
      <w:r>
        <w:rPr>
          <w:rFonts w:ascii="Times New Roman" w:hAnsi="Times New Roman"/>
          <w:i/>
          <w:iCs/>
          <w:sz w:val="24"/>
        </w:rPr>
        <w:t>N.J. Super.</w:t>
      </w:r>
      <w:r>
        <w:rPr>
          <w:rFonts w:ascii="Times New Roman" w:hAnsi="Times New Roman"/>
          <w:sz w:val="24"/>
        </w:rPr>
        <w:t xml:space="preserve"> 445 (App. Div. 1993) (a </w:t>
      </w:r>
      <w:r w:rsidR="00B24673">
        <w:rPr>
          <w:rFonts w:ascii="Times New Roman" w:hAnsi="Times New Roman"/>
          <w:sz w:val="24"/>
        </w:rPr>
        <w:t>non-workplace</w:t>
      </w:r>
      <w:r>
        <w:rPr>
          <w:rFonts w:ascii="Times New Roman" w:hAnsi="Times New Roman"/>
          <w:sz w:val="24"/>
        </w:rPr>
        <w:t xml:space="preserve"> case).  </w:t>
      </w:r>
    </w:p>
  </w:footnote>
  <w:footnote w:id="12">
    <w:p w14:paraId="448FE43A" w14:textId="77777777"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i/>
          <w:iCs/>
          <w:sz w:val="24"/>
        </w:rPr>
        <w:t xml:space="preserve">  Caveat:</w:t>
      </w:r>
      <w:r>
        <w:rPr>
          <w:rFonts w:ascii="Times New Roman" w:hAnsi="Times New Roman"/>
          <w:sz w:val="24"/>
        </w:rPr>
        <w:t xml:space="preserve">  There are two threshold determinations for admissibility of rebuttal evidence to the heeding presumption [</w:t>
      </w:r>
      <w:r>
        <w:rPr>
          <w:rFonts w:ascii="Times New Roman" w:hAnsi="Times New Roman"/>
          <w:i/>
          <w:iCs/>
          <w:sz w:val="24"/>
        </w:rPr>
        <w:t>viz</w:t>
      </w:r>
      <w:r>
        <w:rPr>
          <w:rFonts w:ascii="Times New Roman" w:hAnsi="Times New Roman"/>
          <w:sz w:val="24"/>
        </w:rPr>
        <w:t xml:space="preserve">., proof of habit that involves a risk similar to that not warned of]: </w:t>
      </w:r>
    </w:p>
    <w:p w14:paraId="5F336068" w14:textId="77777777" w:rsidR="00976E86" w:rsidRDefault="00976E86">
      <w:pPr>
        <w:spacing w:after="120"/>
        <w:jc w:val="both"/>
        <w:rPr>
          <w:rFonts w:ascii="Times New Roman" w:hAnsi="Times New Roman"/>
          <w:sz w:val="24"/>
        </w:rPr>
      </w:pPr>
      <w:r>
        <w:rPr>
          <w:rFonts w:ascii="Times New Roman" w:hAnsi="Times New Roman"/>
          <w:sz w:val="24"/>
        </w:rPr>
        <w:t xml:space="preserve">(1) With regard to the substantive proofs necessary to rebut the heeding presumption, it is important to distinguish between habit and character evidence when offered by a product manufacturer to overcome the presumption.  Only evidence of a </w:t>
      </w:r>
      <w:r>
        <w:rPr>
          <w:rFonts w:ascii="Times New Roman" w:hAnsi="Times New Roman"/>
          <w:sz w:val="24"/>
          <w:u w:val="single"/>
        </w:rPr>
        <w:t>habit related to the specific situation</w:t>
      </w:r>
      <w:r>
        <w:rPr>
          <w:rFonts w:ascii="Times New Roman" w:hAnsi="Times New Roman"/>
          <w:sz w:val="24"/>
        </w:rPr>
        <w:t xml:space="preserve"> not a character trait may be offered to rebut the presumption.  In </w:t>
      </w:r>
      <w:r>
        <w:rPr>
          <w:rFonts w:ascii="Times New Roman" w:hAnsi="Times New Roman"/>
          <w:i/>
          <w:iCs/>
          <w:sz w:val="24"/>
        </w:rPr>
        <w:t>Sharpe v. Bestop</w:t>
      </w:r>
      <w:r>
        <w:rPr>
          <w:rFonts w:ascii="Times New Roman" w:hAnsi="Times New Roman"/>
          <w:sz w:val="24"/>
        </w:rPr>
        <w:t xml:space="preserve">, 34 </w:t>
      </w:r>
      <w:r>
        <w:rPr>
          <w:rFonts w:ascii="Times New Roman" w:hAnsi="Times New Roman"/>
          <w:i/>
          <w:iCs/>
          <w:sz w:val="24"/>
        </w:rPr>
        <w:t>N.J. Super.</w:t>
      </w:r>
      <w:r>
        <w:rPr>
          <w:rFonts w:ascii="Times New Roman" w:hAnsi="Times New Roman"/>
          <w:sz w:val="24"/>
        </w:rPr>
        <w:t xml:space="preserve"> 54 (App. Div. 1998); 158 </w:t>
      </w:r>
      <w:r>
        <w:rPr>
          <w:rFonts w:ascii="Times New Roman" w:hAnsi="Times New Roman"/>
          <w:i/>
          <w:iCs/>
          <w:sz w:val="24"/>
        </w:rPr>
        <w:t>N.J.</w:t>
      </w:r>
      <w:r>
        <w:rPr>
          <w:rFonts w:ascii="Times New Roman" w:hAnsi="Times New Roman"/>
          <w:sz w:val="24"/>
        </w:rPr>
        <w:t xml:space="preserve"> 545 (1999), the Supreme Court offered the following:</w:t>
      </w:r>
    </w:p>
    <w:p w14:paraId="51065FBB" w14:textId="77777777" w:rsidR="00976E86" w:rsidRDefault="00976E86">
      <w:pPr>
        <w:spacing w:after="120"/>
        <w:ind w:left="720" w:right="720"/>
        <w:jc w:val="both"/>
        <w:rPr>
          <w:rFonts w:ascii="Times New Roman" w:hAnsi="Times New Roman"/>
          <w:sz w:val="24"/>
        </w:rPr>
      </w:pPr>
      <w:r>
        <w:rPr>
          <w:rFonts w:ascii="Times New Roman" w:hAnsi="Times New Roman"/>
          <w:sz w:val="24"/>
        </w:rPr>
        <w:t>[T]he Advisory Committee [on the Federal Rules] noted in its Comment to Rule 406 [that] habit ‘describes one’s regular response to a repeated specific situation.’ ‘[B]</w:t>
      </w:r>
      <w:proofErr w:type="spellStart"/>
      <w:r>
        <w:rPr>
          <w:rFonts w:ascii="Times New Roman" w:hAnsi="Times New Roman"/>
          <w:sz w:val="24"/>
        </w:rPr>
        <w:t>efore</w:t>
      </w:r>
      <w:proofErr w:type="spellEnd"/>
      <w:r>
        <w:rPr>
          <w:rFonts w:ascii="Times New Roman" w:hAnsi="Times New Roman"/>
          <w:sz w:val="24"/>
        </w:rPr>
        <w:t xml:space="preserve"> a court may admit evidence of habit, the offering party must establish the degree of specificity and frequency of uniform response that ensures more than a mere “tendency” to act in a given manner, but rather, conduct that is “semiautomatic in nature.”’  </w:t>
      </w:r>
      <w:r>
        <w:rPr>
          <w:rFonts w:ascii="Times New Roman" w:hAnsi="Times New Roman"/>
          <w:i/>
          <w:iCs/>
          <w:sz w:val="24"/>
        </w:rPr>
        <w:t>Simplex, Inc. v. Diversified Energy Systems, Inc</w:t>
      </w:r>
      <w:r>
        <w:rPr>
          <w:rFonts w:ascii="Times New Roman" w:hAnsi="Times New Roman"/>
          <w:sz w:val="24"/>
        </w:rPr>
        <w:t xml:space="preserve">., 847 </w:t>
      </w:r>
      <w:r>
        <w:rPr>
          <w:rFonts w:ascii="Times New Roman" w:hAnsi="Times New Roman"/>
          <w:i/>
          <w:iCs/>
          <w:sz w:val="24"/>
        </w:rPr>
        <w:t>F.</w:t>
      </w:r>
      <w:r>
        <w:rPr>
          <w:rFonts w:ascii="Times New Roman" w:hAnsi="Times New Roman"/>
          <w:sz w:val="24"/>
        </w:rPr>
        <w:t>2d 1290, 1293 (7th Cir. 1988).</w:t>
      </w:r>
    </w:p>
    <w:p w14:paraId="7C935CA0" w14:textId="65B93B89" w:rsidR="00976E86" w:rsidRDefault="00976E86">
      <w:pPr>
        <w:spacing w:after="120"/>
        <w:jc w:val="both"/>
        <w:rPr>
          <w:rFonts w:ascii="Times New Roman" w:hAnsi="Times New Roman"/>
          <w:sz w:val="24"/>
        </w:rPr>
      </w:pPr>
      <w:r>
        <w:rPr>
          <w:rFonts w:ascii="Times New Roman" w:hAnsi="Times New Roman"/>
          <w:sz w:val="24"/>
        </w:rPr>
        <w:t xml:space="preserve">(2) Even after rebuttal evidence of failure to follow warnings in other contexts rises to the level of habit, the trial court must determine whether such evidence “is sufficiently similar in character and quality to establish the likelihood of a similar response” to the risk or hazard in issue.  </w:t>
      </w:r>
      <w:r>
        <w:rPr>
          <w:rFonts w:ascii="Times New Roman" w:hAnsi="Times New Roman"/>
          <w:i/>
          <w:iCs/>
          <w:sz w:val="24"/>
        </w:rPr>
        <w:t>Sharpe v. Bestop</w:t>
      </w:r>
      <w:r>
        <w:rPr>
          <w:rFonts w:ascii="Times New Roman" w:hAnsi="Times New Roman"/>
          <w:sz w:val="24"/>
        </w:rPr>
        <w:t xml:space="preserve">, 158 </w:t>
      </w:r>
      <w:r>
        <w:rPr>
          <w:rFonts w:ascii="Times New Roman" w:hAnsi="Times New Roman"/>
          <w:i/>
          <w:iCs/>
          <w:sz w:val="24"/>
        </w:rPr>
        <w:t>N.J.</w:t>
      </w:r>
      <w:r>
        <w:rPr>
          <w:rFonts w:ascii="Times New Roman" w:hAnsi="Times New Roman"/>
          <w:sz w:val="24"/>
        </w:rPr>
        <w:t xml:space="preserve"> at 331-32 (1999).  </w:t>
      </w:r>
      <w:r w:rsidR="00AC0364">
        <w:rPr>
          <w:rFonts w:ascii="Times New Roman" w:hAnsi="Times New Roman"/>
          <w:sz w:val="24"/>
        </w:rPr>
        <w:t>Thus,</w:t>
      </w:r>
      <w:r>
        <w:rPr>
          <w:rFonts w:ascii="Times New Roman" w:hAnsi="Times New Roman"/>
          <w:sz w:val="24"/>
        </w:rPr>
        <w:t xml:space="preserve"> in </w:t>
      </w:r>
      <w:r>
        <w:rPr>
          <w:rFonts w:ascii="Times New Roman" w:hAnsi="Times New Roman"/>
          <w:i/>
          <w:iCs/>
          <w:sz w:val="24"/>
        </w:rPr>
        <w:t>Sharpe</w:t>
      </w:r>
      <w:r>
        <w:rPr>
          <w:rFonts w:ascii="Times New Roman" w:hAnsi="Times New Roman"/>
          <w:sz w:val="24"/>
        </w:rPr>
        <w:t>, the Supreme Court gave the example that they would “</w:t>
      </w:r>
      <w:r>
        <w:rPr>
          <w:rFonts w:ascii="Times New Roman" w:hAnsi="Times New Roman"/>
          <w:sz w:val="24"/>
          <w:u w:val="single"/>
        </w:rPr>
        <w:t>not</w:t>
      </w:r>
      <w:r>
        <w:rPr>
          <w:rFonts w:ascii="Times New Roman" w:hAnsi="Times New Roman"/>
          <w:sz w:val="24"/>
        </w:rPr>
        <w:t xml:space="preserve"> find that evidence of one’s repeated failure to follow a doctor’s advice to lose weight is sufficiently similar in character and quality to establish the likelihood of a similar response to a safety warning concerning boating waters” (emphasis added) (citing </w:t>
      </w:r>
      <w:r>
        <w:rPr>
          <w:rFonts w:ascii="Times New Roman" w:hAnsi="Times New Roman"/>
          <w:i/>
          <w:iCs/>
          <w:sz w:val="24"/>
        </w:rPr>
        <w:t xml:space="preserve">Verdun v. State, Through </w:t>
      </w:r>
      <w:proofErr w:type="spellStart"/>
      <w:r>
        <w:rPr>
          <w:rFonts w:ascii="Times New Roman" w:hAnsi="Times New Roman"/>
          <w:i/>
          <w:iCs/>
          <w:sz w:val="24"/>
        </w:rPr>
        <w:t>Dep’t</w:t>
      </w:r>
      <w:proofErr w:type="spellEnd"/>
      <w:r>
        <w:rPr>
          <w:rFonts w:ascii="Times New Roman" w:hAnsi="Times New Roman"/>
          <w:i/>
          <w:iCs/>
          <w:sz w:val="24"/>
        </w:rPr>
        <w:t xml:space="preserve"> of Health and Human Resources</w:t>
      </w:r>
      <w:r>
        <w:rPr>
          <w:rFonts w:ascii="Times New Roman" w:hAnsi="Times New Roman"/>
          <w:sz w:val="24"/>
        </w:rPr>
        <w:t xml:space="preserve">, 598 </w:t>
      </w:r>
      <w:r>
        <w:rPr>
          <w:rFonts w:ascii="Times New Roman" w:hAnsi="Times New Roman"/>
          <w:i/>
          <w:iCs/>
          <w:sz w:val="24"/>
        </w:rPr>
        <w:t>So</w:t>
      </w:r>
      <w:r>
        <w:rPr>
          <w:rFonts w:ascii="Times New Roman" w:hAnsi="Times New Roman"/>
          <w:sz w:val="24"/>
        </w:rPr>
        <w:t xml:space="preserve">. 2d 1091, 1095 (La. Ct. App.), </w:t>
      </w:r>
      <w:r>
        <w:rPr>
          <w:rFonts w:ascii="Times New Roman" w:hAnsi="Times New Roman"/>
          <w:i/>
          <w:iCs/>
          <w:sz w:val="24"/>
        </w:rPr>
        <w:t>writ denied</w:t>
      </w:r>
      <w:r>
        <w:rPr>
          <w:rFonts w:ascii="Times New Roman" w:hAnsi="Times New Roman"/>
          <w:sz w:val="24"/>
        </w:rPr>
        <w:t xml:space="preserve">, 604 </w:t>
      </w:r>
      <w:r>
        <w:rPr>
          <w:rFonts w:ascii="Times New Roman" w:hAnsi="Times New Roman"/>
          <w:i/>
          <w:iCs/>
          <w:sz w:val="24"/>
        </w:rPr>
        <w:t>So.</w:t>
      </w:r>
      <w:r>
        <w:rPr>
          <w:rFonts w:ascii="Times New Roman" w:hAnsi="Times New Roman"/>
          <w:sz w:val="24"/>
        </w:rPr>
        <w:t xml:space="preserve"> 2d 1003 (</w:t>
      </w:r>
      <w:smartTag w:uri="urn:schemas-microsoft-com:office:smarttags" w:element="place">
        <w:smartTag w:uri="urn:schemas-microsoft-com:office:smarttags" w:element="State">
          <w:r>
            <w:rPr>
              <w:rFonts w:ascii="Times New Roman" w:hAnsi="Times New Roman"/>
              <w:sz w:val="24"/>
            </w:rPr>
            <w:t>La.</w:t>
          </w:r>
        </w:smartTag>
      </w:smartTag>
      <w:r>
        <w:rPr>
          <w:rFonts w:ascii="Times New Roman" w:hAnsi="Times New Roman"/>
          <w:sz w:val="24"/>
        </w:rPr>
        <w:t xml:space="preserve"> 1992).  </w:t>
      </w:r>
      <w:smartTag w:uri="urn:schemas-microsoft-com:office:smarttags" w:element="place">
        <w:smartTag w:uri="urn:schemas-microsoft-com:office:smarttags" w:element="State">
          <w:r>
            <w:rPr>
              <w:rFonts w:ascii="Times New Roman" w:hAnsi="Times New Roman"/>
              <w:i/>
              <w:iCs/>
              <w:sz w:val="24"/>
            </w:rPr>
            <w:t>Id.</w:t>
          </w:r>
        </w:smartTag>
      </w:smartTag>
      <w:r>
        <w:rPr>
          <w:rFonts w:ascii="Times New Roman" w:hAnsi="Times New Roman"/>
          <w:sz w:val="24"/>
        </w:rPr>
        <w:t xml:space="preserve"> at 329.</w:t>
      </w:r>
    </w:p>
  </w:footnote>
  <w:footnote w:id="13">
    <w:p w14:paraId="3C556235" w14:textId="6CEA5AC6"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Plaintiff is required to prove that the absence of a warning was a proximate cause of </w:t>
      </w:r>
      <w:r w:rsidR="003B6C42">
        <w:rPr>
          <w:rFonts w:ascii="Times New Roman" w:hAnsi="Times New Roman"/>
          <w:sz w:val="24"/>
        </w:rPr>
        <w:t>plaintiff’s</w:t>
      </w:r>
      <w:r>
        <w:rPr>
          <w:rFonts w:ascii="Times New Roman" w:hAnsi="Times New Roman"/>
          <w:sz w:val="24"/>
        </w:rPr>
        <w:t xml:space="preserve"> harm. This is known as product-defect causation.  </w:t>
      </w:r>
      <w:r>
        <w:rPr>
          <w:rFonts w:ascii="Times New Roman" w:hAnsi="Times New Roman"/>
          <w:i/>
          <w:iCs/>
          <w:sz w:val="24"/>
        </w:rPr>
        <w:t>Coffman v. Keene Corp.</w:t>
      </w:r>
      <w:r>
        <w:rPr>
          <w:rFonts w:ascii="Times New Roman" w:hAnsi="Times New Roman"/>
          <w:sz w:val="24"/>
        </w:rPr>
        <w:t xml:space="preserve">, 133 </w:t>
      </w:r>
      <w:r>
        <w:rPr>
          <w:rFonts w:ascii="Times New Roman" w:hAnsi="Times New Roman"/>
          <w:i/>
          <w:iCs/>
          <w:sz w:val="24"/>
        </w:rPr>
        <w:t>N.J.</w:t>
      </w:r>
      <w:r>
        <w:rPr>
          <w:rFonts w:ascii="Times New Roman" w:hAnsi="Times New Roman"/>
          <w:sz w:val="24"/>
        </w:rPr>
        <w:t xml:space="preserve"> 58l, 594 (l993).  Further, in some failure to warn cases another kind of causation must normally be proved -- medical causation.  Therefore, proximate cause may require two questions:  </w:t>
      </w:r>
    </w:p>
    <w:p w14:paraId="32A55D4D" w14:textId="77777777" w:rsidR="003B07CB" w:rsidRDefault="003B07CB" w:rsidP="003B07CB">
      <w:pPr>
        <w:tabs>
          <w:tab w:val="left" w:pos="-1440"/>
        </w:tabs>
        <w:spacing w:after="120"/>
        <w:ind w:left="720" w:hanging="360"/>
        <w:jc w:val="both"/>
        <w:rPr>
          <w:rFonts w:ascii="Times New Roman" w:hAnsi="Times New Roman"/>
          <w:sz w:val="24"/>
        </w:rPr>
      </w:pPr>
      <w:r>
        <w:rPr>
          <w:rFonts w:ascii="Times New Roman" w:hAnsi="Times New Roman"/>
          <w:sz w:val="24"/>
        </w:rPr>
        <w:t xml:space="preserve">l.  </w:t>
      </w:r>
      <w:r w:rsidR="00976E86">
        <w:rPr>
          <w:rFonts w:ascii="Times New Roman" w:hAnsi="Times New Roman"/>
          <w:sz w:val="24"/>
        </w:rPr>
        <w:t xml:space="preserve">Was the defect (failure to warn) a proximate cause of plaintiff’s exposure to the product? </w:t>
      </w:r>
    </w:p>
    <w:p w14:paraId="0CF928D8" w14:textId="77777777" w:rsidR="003B07CB" w:rsidRDefault="00976E86" w:rsidP="003B07CB">
      <w:pPr>
        <w:tabs>
          <w:tab w:val="left" w:pos="-1440"/>
        </w:tabs>
        <w:spacing w:after="120"/>
        <w:ind w:left="720" w:hanging="360"/>
        <w:jc w:val="both"/>
        <w:rPr>
          <w:rFonts w:ascii="Times New Roman" w:hAnsi="Times New Roman"/>
          <w:sz w:val="24"/>
        </w:rPr>
      </w:pPr>
      <w:r>
        <w:rPr>
          <w:rFonts w:ascii="Times New Roman" w:hAnsi="Times New Roman"/>
          <w:sz w:val="24"/>
        </w:rPr>
        <w:t>2.</w:t>
      </w:r>
      <w:r w:rsidR="003B07CB">
        <w:rPr>
          <w:rFonts w:ascii="Times New Roman" w:hAnsi="Times New Roman"/>
          <w:sz w:val="24"/>
        </w:rPr>
        <w:t xml:space="preserve">  </w:t>
      </w:r>
      <w:r>
        <w:rPr>
          <w:rFonts w:ascii="Times New Roman" w:hAnsi="Times New Roman"/>
          <w:sz w:val="24"/>
        </w:rPr>
        <w:t xml:space="preserve">Was the exposure to the product a proximate cause of plaintiff’s injury?  </w:t>
      </w:r>
    </w:p>
    <w:p w14:paraId="4DA0A017" w14:textId="77777777" w:rsidR="00976E86" w:rsidRDefault="00976E86" w:rsidP="003B07CB">
      <w:pPr>
        <w:tabs>
          <w:tab w:val="left" w:pos="-1440"/>
        </w:tabs>
        <w:spacing w:after="120"/>
        <w:ind w:left="720"/>
        <w:jc w:val="both"/>
        <w:rPr>
          <w:rFonts w:ascii="Times New Roman" w:hAnsi="Times New Roman"/>
          <w:sz w:val="24"/>
        </w:rPr>
      </w:pPr>
      <w:r w:rsidRPr="003153C5">
        <w:rPr>
          <w:rFonts w:ascii="Times New Roman" w:hAnsi="Times New Roman"/>
          <w:i/>
          <w:sz w:val="24"/>
        </w:rPr>
        <w:t xml:space="preserve">See </w:t>
      </w:r>
      <w:smartTag w:uri="urn:schemas-microsoft-com:office:smarttags" w:element="place">
        <w:r>
          <w:rPr>
            <w:rFonts w:ascii="Times New Roman" w:hAnsi="Times New Roman"/>
            <w:i/>
            <w:iCs/>
            <w:sz w:val="24"/>
          </w:rPr>
          <w:t>Graves</w:t>
        </w:r>
      </w:smartTag>
      <w:r>
        <w:rPr>
          <w:rFonts w:ascii="Times New Roman" w:hAnsi="Times New Roman"/>
          <w:i/>
          <w:iCs/>
          <w:sz w:val="24"/>
        </w:rPr>
        <w:t xml:space="preserve"> v. Church Dwight Co., Inc.</w:t>
      </w:r>
      <w:r>
        <w:rPr>
          <w:rFonts w:ascii="Times New Roman" w:hAnsi="Times New Roman"/>
          <w:sz w:val="24"/>
        </w:rPr>
        <w:t xml:space="preserve">, 267 </w:t>
      </w:r>
      <w:r>
        <w:rPr>
          <w:rFonts w:ascii="Times New Roman" w:hAnsi="Times New Roman"/>
          <w:i/>
          <w:iCs/>
          <w:sz w:val="24"/>
        </w:rPr>
        <w:t>N.J. Super</w:t>
      </w:r>
      <w:r>
        <w:rPr>
          <w:rFonts w:ascii="Times New Roman" w:hAnsi="Times New Roman"/>
          <w:sz w:val="24"/>
        </w:rPr>
        <w:t xml:space="preserve">. 445, 450 (App. Div. l993).  In cases where the plaintiff is dead or otherwise incapable of testifying at trial, </w:t>
      </w:r>
      <w:r>
        <w:rPr>
          <w:rFonts w:ascii="Times New Roman" w:hAnsi="Times New Roman"/>
          <w:i/>
          <w:iCs/>
          <w:sz w:val="24"/>
        </w:rPr>
        <w:t>see Sharpe v. Bestop</w:t>
      </w:r>
      <w:r>
        <w:rPr>
          <w:rFonts w:ascii="Times New Roman" w:hAnsi="Times New Roman"/>
          <w:sz w:val="24"/>
        </w:rPr>
        <w:t xml:space="preserve">, 314 </w:t>
      </w:r>
      <w:r>
        <w:rPr>
          <w:rFonts w:ascii="Times New Roman" w:hAnsi="Times New Roman"/>
          <w:i/>
          <w:iCs/>
          <w:sz w:val="24"/>
        </w:rPr>
        <w:t>N.J. Super.</w:t>
      </w:r>
      <w:r>
        <w:rPr>
          <w:rFonts w:ascii="Times New Roman" w:hAnsi="Times New Roman"/>
          <w:sz w:val="24"/>
        </w:rPr>
        <w:t xml:space="preserve"> 54 at 83.  </w:t>
      </w:r>
    </w:p>
  </w:footnote>
  <w:footnote w:id="14">
    <w:p w14:paraId="262A5FFC" w14:textId="77777777" w:rsidR="00976E86" w:rsidRDefault="00976E86">
      <w:pPr>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i/>
          <w:iCs/>
          <w:sz w:val="24"/>
        </w:rPr>
        <w:t xml:space="preserve">  Navarro v. George Koch &amp; Sons, Inc</w:t>
      </w:r>
      <w:r>
        <w:rPr>
          <w:rFonts w:ascii="Times New Roman" w:hAnsi="Times New Roman"/>
          <w:sz w:val="24"/>
        </w:rPr>
        <w:t xml:space="preserve">., 211 </w:t>
      </w:r>
      <w:r>
        <w:rPr>
          <w:rFonts w:ascii="Times New Roman" w:hAnsi="Times New Roman"/>
          <w:i/>
          <w:iCs/>
          <w:sz w:val="24"/>
        </w:rPr>
        <w:t>N.J. Super.</w:t>
      </w:r>
      <w:r>
        <w:rPr>
          <w:rFonts w:ascii="Times New Roman" w:hAnsi="Times New Roman"/>
          <w:sz w:val="24"/>
        </w:rPr>
        <w:t xml:space="preserve"> 558, 573 (App. Div. l986), and </w:t>
      </w:r>
      <w:r>
        <w:rPr>
          <w:rFonts w:ascii="Times New Roman" w:hAnsi="Times New Roman"/>
          <w:i/>
          <w:iCs/>
          <w:sz w:val="24"/>
        </w:rPr>
        <w:t>Butler v. PPG Industries, Inc</w:t>
      </w:r>
      <w:r>
        <w:rPr>
          <w:rFonts w:ascii="Times New Roman" w:hAnsi="Times New Roman"/>
          <w:sz w:val="24"/>
        </w:rPr>
        <w:t xml:space="preserve">., 201 </w:t>
      </w:r>
      <w:r>
        <w:rPr>
          <w:rFonts w:ascii="Times New Roman" w:hAnsi="Times New Roman"/>
          <w:i/>
          <w:iCs/>
          <w:sz w:val="24"/>
        </w:rPr>
        <w:t>N.J. Super.</w:t>
      </w:r>
      <w:r>
        <w:rPr>
          <w:rFonts w:ascii="Times New Roman" w:hAnsi="Times New Roman"/>
          <w:sz w:val="24"/>
        </w:rPr>
        <w:t xml:space="preserve"> 558, 564 (App. Div. l985), may be understood as discussions of a burden of production rather than persuasion.  So construed they clearly conform to </w:t>
      </w:r>
      <w:r>
        <w:rPr>
          <w:rFonts w:ascii="Times New Roman" w:hAnsi="Times New Roman"/>
          <w:i/>
          <w:iCs/>
          <w:sz w:val="24"/>
        </w:rPr>
        <w:t>Brown v. U.S. Stove</w:t>
      </w:r>
      <w:r>
        <w:rPr>
          <w:rFonts w:ascii="Times New Roman" w:hAnsi="Times New Roman"/>
          <w:sz w:val="24"/>
        </w:rPr>
        <w:t xml:space="preserve">, 98 </w:t>
      </w:r>
      <w:r>
        <w:rPr>
          <w:rFonts w:ascii="Times New Roman" w:hAnsi="Times New Roman"/>
          <w:i/>
          <w:iCs/>
          <w:sz w:val="24"/>
        </w:rPr>
        <w:t>N.J.</w:t>
      </w:r>
      <w:r>
        <w:rPr>
          <w:rFonts w:ascii="Times New Roman" w:hAnsi="Times New Roman"/>
          <w:sz w:val="24"/>
        </w:rPr>
        <w:t xml:space="preserve"> 155 (1984), and prior law.  </w:t>
      </w:r>
      <w:r w:rsidRPr="003153C5">
        <w:rPr>
          <w:rFonts w:ascii="Times New Roman" w:hAnsi="Times New Roman"/>
          <w:i/>
          <w:sz w:val="24"/>
        </w:rPr>
        <w:t>See</w:t>
      </w:r>
      <w:r>
        <w:rPr>
          <w:rFonts w:ascii="Times New Roman" w:hAnsi="Times New Roman"/>
          <w:sz w:val="24"/>
        </w:rPr>
        <w:t xml:space="preserve"> </w:t>
      </w:r>
      <w:r>
        <w:rPr>
          <w:rFonts w:ascii="Times New Roman" w:hAnsi="Times New Roman"/>
          <w:i/>
          <w:iCs/>
          <w:sz w:val="24"/>
        </w:rPr>
        <w:t>Fabian v. Minster Mach. Co., Inc</w:t>
      </w:r>
      <w:r>
        <w:rPr>
          <w:rFonts w:ascii="Times New Roman" w:hAnsi="Times New Roman"/>
          <w:sz w:val="24"/>
        </w:rPr>
        <w:t xml:space="preserve">., 258 </w:t>
      </w:r>
      <w:r>
        <w:rPr>
          <w:rFonts w:ascii="Times New Roman" w:hAnsi="Times New Roman"/>
          <w:i/>
          <w:iCs/>
          <w:sz w:val="24"/>
        </w:rPr>
        <w:t>N.J. Super.</w:t>
      </w:r>
      <w:r>
        <w:rPr>
          <w:rFonts w:ascii="Times New Roman" w:hAnsi="Times New Roman"/>
          <w:sz w:val="24"/>
        </w:rPr>
        <w:t xml:space="preserve"> 261 at 277, footnote 5 and </w:t>
      </w:r>
      <w:r>
        <w:rPr>
          <w:rFonts w:ascii="Times New Roman" w:hAnsi="Times New Roman"/>
          <w:i/>
          <w:iCs/>
          <w:sz w:val="24"/>
        </w:rPr>
        <w:t>Johansen v. Mikita USA Inc.</w:t>
      </w:r>
      <w:r>
        <w:rPr>
          <w:rFonts w:ascii="Times New Roman" w:hAnsi="Times New Roman"/>
          <w:sz w:val="24"/>
        </w:rPr>
        <w:t xml:space="preserve">, 128 </w:t>
      </w:r>
      <w:r>
        <w:rPr>
          <w:rFonts w:ascii="Times New Roman" w:hAnsi="Times New Roman"/>
          <w:i/>
          <w:iCs/>
          <w:sz w:val="24"/>
        </w:rPr>
        <w:t>N.J.</w:t>
      </w:r>
      <w:r>
        <w:rPr>
          <w:rFonts w:ascii="Times New Roman" w:hAnsi="Times New Roman"/>
          <w:sz w:val="24"/>
        </w:rPr>
        <w:t xml:space="preserve"> 86 (l992). </w:t>
      </w:r>
    </w:p>
  </w:footnote>
  <w:footnote w:id="15">
    <w:p w14:paraId="42B100EB" w14:textId="77777777" w:rsidR="00976E86" w:rsidRDefault="00976E86" w:rsidP="00DD6C93">
      <w:pPr>
        <w:widowControl/>
        <w:spacing w:after="120"/>
        <w:jc w:val="both"/>
        <w:rPr>
          <w:rFonts w:ascii="Times New Roman" w:hAnsi="Times New Roman"/>
          <w:sz w:val="24"/>
        </w:rPr>
      </w:pPr>
      <w:r>
        <w:rPr>
          <w:rStyle w:val="FootnoteReference"/>
          <w:rFonts w:ascii="Times New Roman" w:hAnsi="Times New Roman"/>
          <w:sz w:val="24"/>
        </w:rPr>
        <w:footnoteRef/>
      </w:r>
      <w:r>
        <w:rPr>
          <w:rFonts w:ascii="Times New Roman" w:hAnsi="Times New Roman"/>
          <w:sz w:val="24"/>
        </w:rPr>
        <w:t xml:space="preserve">  This defense is not applicable to workplace injuries where the plaintiff, a worker, has performed a task reasonably assumed to be part of the assigned duties.  </w:t>
      </w:r>
      <w:r>
        <w:rPr>
          <w:rFonts w:ascii="Times New Roman" w:hAnsi="Times New Roman"/>
          <w:i/>
          <w:iCs/>
          <w:sz w:val="24"/>
        </w:rPr>
        <w:t>Ramos v. Silent Hoist and Crane Co.</w:t>
      </w:r>
      <w:r>
        <w:rPr>
          <w:rFonts w:ascii="Times New Roman" w:hAnsi="Times New Roman"/>
          <w:sz w:val="24"/>
        </w:rPr>
        <w:t xml:space="preserve">, 256 </w:t>
      </w:r>
      <w:r>
        <w:rPr>
          <w:rFonts w:ascii="Times New Roman" w:hAnsi="Times New Roman"/>
          <w:i/>
          <w:iCs/>
          <w:sz w:val="24"/>
        </w:rPr>
        <w:t>N.J. Super.</w:t>
      </w:r>
      <w:r>
        <w:rPr>
          <w:rFonts w:ascii="Times New Roman" w:hAnsi="Times New Roman"/>
          <w:sz w:val="24"/>
        </w:rPr>
        <w:t xml:space="preserve"> 467 (App. Div. l992) at 478; </w:t>
      </w:r>
      <w:r>
        <w:rPr>
          <w:rFonts w:ascii="Times New Roman" w:hAnsi="Times New Roman"/>
          <w:i/>
          <w:iCs/>
          <w:sz w:val="24"/>
        </w:rPr>
        <w:t>Suter, supra</w:t>
      </w:r>
      <w:r>
        <w:rPr>
          <w:rFonts w:ascii="Times New Roman" w:hAnsi="Times New Roman"/>
          <w:sz w:val="24"/>
        </w:rPr>
        <w:t xml:space="preserve">, 81 </w:t>
      </w:r>
      <w:r>
        <w:rPr>
          <w:rFonts w:ascii="Times New Roman" w:hAnsi="Times New Roman"/>
          <w:i/>
          <w:iCs/>
          <w:sz w:val="24"/>
        </w:rPr>
        <w:t>N.J.</w:t>
      </w:r>
      <w:r>
        <w:rPr>
          <w:rFonts w:ascii="Times New Roman" w:hAnsi="Times New Roman"/>
          <w:sz w:val="24"/>
        </w:rPr>
        <w:t xml:space="preserve"> at 167-168; </w:t>
      </w:r>
      <w:r>
        <w:rPr>
          <w:rFonts w:ascii="Times New Roman" w:hAnsi="Times New Roman"/>
          <w:i/>
          <w:iCs/>
          <w:sz w:val="24"/>
        </w:rPr>
        <w:t>Tirrell v. Navistar, Int’l.</w:t>
      </w:r>
      <w:r>
        <w:rPr>
          <w:rFonts w:ascii="Times New Roman" w:hAnsi="Times New Roman"/>
          <w:sz w:val="24"/>
        </w:rPr>
        <w:t xml:space="preserve">, 248 </w:t>
      </w:r>
      <w:r>
        <w:rPr>
          <w:rFonts w:ascii="Times New Roman" w:hAnsi="Times New Roman"/>
          <w:i/>
          <w:iCs/>
          <w:sz w:val="24"/>
        </w:rPr>
        <w:t>N.J. Super.</w:t>
      </w:r>
      <w:r>
        <w:rPr>
          <w:rFonts w:ascii="Times New Roman" w:hAnsi="Times New Roman"/>
          <w:sz w:val="24"/>
        </w:rPr>
        <w:t xml:space="preserve"> at 401-402.  In other than a workplace setting, in a product liability case, plaintiff’s comparative fault is limited to unreasonably and intentionally proceeding in the face of a known danger.  </w:t>
      </w:r>
      <w:r>
        <w:rPr>
          <w:rFonts w:ascii="Times New Roman" w:hAnsi="Times New Roman"/>
          <w:i/>
          <w:iCs/>
          <w:sz w:val="24"/>
        </w:rPr>
        <w:t>Cepeda v. Cumberland Engineering Company, Inc., supra</w:t>
      </w:r>
      <w:r>
        <w:rPr>
          <w:rFonts w:ascii="Times New Roman" w:hAnsi="Times New Roman"/>
          <w:sz w:val="24"/>
        </w:rPr>
        <w:t xml:space="preserve">, 76 </w:t>
      </w:r>
      <w:r>
        <w:rPr>
          <w:rFonts w:ascii="Times New Roman" w:hAnsi="Times New Roman"/>
          <w:i/>
          <w:iCs/>
          <w:sz w:val="24"/>
        </w:rPr>
        <w:t>N.J.</w:t>
      </w:r>
      <w:r>
        <w:rPr>
          <w:rFonts w:ascii="Times New Roman" w:hAnsi="Times New Roman"/>
          <w:sz w:val="24"/>
        </w:rPr>
        <w:t xml:space="preserve"> at l86.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0ED40" w14:textId="77777777" w:rsidR="00976E86" w:rsidRDefault="00B025D4">
    <w:pPr>
      <w:pStyle w:val="Header"/>
      <w:rPr>
        <w:rFonts w:ascii="Times New Roman" w:hAnsi="Times New Roman"/>
        <w:b/>
        <w:smallCaps/>
        <w:sz w:val="24"/>
      </w:rPr>
    </w:pPr>
    <w:r>
      <w:rPr>
        <w:rFonts w:ascii="Times New Roman" w:hAnsi="Times New Roman"/>
        <w:b/>
        <w:smallCaps/>
        <w:sz w:val="24"/>
      </w:rPr>
      <w:t>Charge 5.40C</w:t>
    </w:r>
  </w:p>
  <w:p w14:paraId="15FABE8B" w14:textId="77777777" w:rsidR="00976E86" w:rsidRDefault="00976E86">
    <w:pPr>
      <w:pStyle w:val="Header"/>
      <w:rPr>
        <w:rFonts w:ascii="Times New Roman" w:hAnsi="Times New Roman"/>
        <w:sz w:val="24"/>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35F45" w14:textId="77777777" w:rsidR="00976E86" w:rsidRPr="0067137B" w:rsidRDefault="00976E86">
    <w:pPr>
      <w:pStyle w:val="Heading1"/>
      <w:rPr>
        <w:rFonts w:ascii="Times New Roman Bold" w:hAnsi="Times New Roman Bold"/>
        <w:smallCaps w:val="0"/>
        <w:sz w:val="28"/>
        <w:szCs w:val="28"/>
      </w:rPr>
    </w:pPr>
    <w:r>
      <w:tab/>
    </w:r>
    <w:r>
      <w:rPr>
        <w:rFonts w:ascii="Times New Roman Bold" w:hAnsi="Times New Roman Bold"/>
        <w:smallCaps w:val="0"/>
        <w:sz w:val="28"/>
        <w:szCs w:val="28"/>
      </w:rPr>
      <w:t>CHARGE 5.40C</w:t>
    </w:r>
    <w:r w:rsidRPr="0067137B">
      <w:rPr>
        <w:rFonts w:ascii="Times New Roman Bold" w:hAnsi="Times New Roman Bold"/>
        <w:smallCaps w:val="0"/>
        <w:sz w:val="28"/>
        <w:szCs w:val="28"/>
      </w:rPr>
      <w:t xml:space="preserve"> </w:t>
    </w:r>
    <w:r>
      <w:rPr>
        <w:smallCaps w:val="0"/>
        <w:sz w:val="28"/>
        <w:szCs w:val="28"/>
      </w:rPr>
      <w:t>―</w:t>
    </w:r>
    <w:r w:rsidRPr="0067137B">
      <w:rPr>
        <w:rFonts w:ascii="Times New Roman Bold" w:hAnsi="Times New Roman Bold"/>
        <w:smallCaps w:val="0"/>
        <w:sz w:val="28"/>
        <w:szCs w:val="28"/>
      </w:rPr>
      <w:t xml:space="preserve"> Page </w:t>
    </w:r>
    <w:r w:rsidRPr="0067137B">
      <w:rPr>
        <w:rFonts w:ascii="Times New Roman Bold" w:hAnsi="Times New Roman Bold"/>
        <w:smallCaps w:val="0"/>
        <w:sz w:val="28"/>
        <w:szCs w:val="28"/>
      </w:rPr>
      <w:fldChar w:fldCharType="begin"/>
    </w:r>
    <w:r w:rsidRPr="0067137B">
      <w:rPr>
        <w:rFonts w:ascii="Times New Roman Bold" w:hAnsi="Times New Roman Bold"/>
        <w:smallCaps w:val="0"/>
        <w:sz w:val="28"/>
        <w:szCs w:val="28"/>
      </w:rPr>
      <w:instrText xml:space="preserve"> PAGE </w:instrText>
    </w:r>
    <w:r w:rsidRPr="0067137B">
      <w:rPr>
        <w:rFonts w:ascii="Times New Roman Bold" w:hAnsi="Times New Roman Bold"/>
        <w:smallCaps w:val="0"/>
        <w:sz w:val="28"/>
        <w:szCs w:val="28"/>
      </w:rPr>
      <w:fldChar w:fldCharType="separate"/>
    </w:r>
    <w:r w:rsidR="003B07CB">
      <w:rPr>
        <w:rFonts w:ascii="Times New Roman Bold" w:hAnsi="Times New Roman Bold"/>
        <w:smallCaps w:val="0"/>
        <w:noProof/>
        <w:sz w:val="28"/>
        <w:szCs w:val="28"/>
      </w:rPr>
      <w:t>12</w:t>
    </w:r>
    <w:r w:rsidRPr="0067137B">
      <w:rPr>
        <w:rFonts w:ascii="Times New Roman Bold" w:hAnsi="Times New Roman Bold"/>
        <w:smallCaps w:val="0"/>
        <w:sz w:val="28"/>
        <w:szCs w:val="28"/>
      </w:rPr>
      <w:fldChar w:fldCharType="end"/>
    </w:r>
    <w:r w:rsidRPr="0067137B">
      <w:rPr>
        <w:rFonts w:ascii="Times New Roman Bold" w:hAnsi="Times New Roman Bold"/>
        <w:smallCaps w:val="0"/>
        <w:sz w:val="28"/>
        <w:szCs w:val="28"/>
      </w:rPr>
      <w:t xml:space="preserve"> of </w:t>
    </w:r>
    <w:r w:rsidRPr="0067137B">
      <w:rPr>
        <w:rFonts w:ascii="Times New Roman Bold" w:hAnsi="Times New Roman Bold"/>
        <w:smallCaps w:val="0"/>
        <w:sz w:val="28"/>
        <w:szCs w:val="28"/>
      </w:rPr>
      <w:fldChar w:fldCharType="begin"/>
    </w:r>
    <w:r w:rsidRPr="0067137B">
      <w:rPr>
        <w:rFonts w:ascii="Times New Roman Bold" w:hAnsi="Times New Roman Bold"/>
        <w:smallCaps w:val="0"/>
        <w:sz w:val="28"/>
        <w:szCs w:val="28"/>
      </w:rPr>
      <w:instrText xml:space="preserve"> NUMPAGES </w:instrText>
    </w:r>
    <w:r w:rsidRPr="0067137B">
      <w:rPr>
        <w:rFonts w:ascii="Times New Roman Bold" w:hAnsi="Times New Roman Bold"/>
        <w:smallCaps w:val="0"/>
        <w:sz w:val="28"/>
        <w:szCs w:val="28"/>
      </w:rPr>
      <w:fldChar w:fldCharType="separate"/>
    </w:r>
    <w:r w:rsidR="003B07CB">
      <w:rPr>
        <w:rFonts w:ascii="Times New Roman Bold" w:hAnsi="Times New Roman Bold"/>
        <w:smallCaps w:val="0"/>
        <w:noProof/>
        <w:sz w:val="28"/>
        <w:szCs w:val="28"/>
      </w:rPr>
      <w:t>12</w:t>
    </w:r>
    <w:r w:rsidRPr="0067137B">
      <w:rPr>
        <w:rFonts w:ascii="Times New Roman Bold" w:hAnsi="Times New Roman Bold"/>
        <w:smallCaps w:val="0"/>
        <w:sz w:val="28"/>
        <w:szCs w:val="28"/>
      </w:rPr>
      <w:fldChar w:fldCharType="end"/>
    </w:r>
  </w:p>
  <w:p w14:paraId="57DA9DE0" w14:textId="77777777" w:rsidR="00976E86" w:rsidRDefault="00976E86">
    <w:pPr>
      <w:jc w:val="right"/>
      <w:rPr>
        <w:rFonts w:ascii="Times New Roman" w:hAnsi="Times New Roman"/>
        <w:b/>
        <w:smallCaps/>
        <w:spacing w:val="-3"/>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CB2299"/>
    <w:multiLevelType w:val="multilevel"/>
    <w:tmpl w:val="0A2ED4EC"/>
    <w:lvl w:ilvl="0">
      <w:start w:val="5"/>
      <w:numFmt w:val="decimal"/>
      <w:lvlText w:val="%1"/>
      <w:lvlJc w:val="left"/>
      <w:pPr>
        <w:tabs>
          <w:tab w:val="num" w:pos="1440"/>
        </w:tabs>
        <w:ind w:left="1440" w:hanging="1440"/>
      </w:pPr>
      <w:rPr>
        <w:rFonts w:hint="default"/>
      </w:rPr>
    </w:lvl>
    <w:lvl w:ilvl="1">
      <w:start w:val="34"/>
      <w:numFmt w:val="decimal"/>
      <w:lvlText w:val="%1.%2"/>
      <w:lvlJc w:val="left"/>
      <w:pPr>
        <w:tabs>
          <w:tab w:val="num" w:pos="1440"/>
        </w:tabs>
        <w:ind w:left="1440" w:hanging="1440"/>
      </w:pPr>
      <w:rPr>
        <w:rFonts w:hint="default"/>
      </w:rPr>
    </w:lvl>
    <w:lvl w:ilvl="2">
      <w:start w:val="1"/>
      <w:numFmt w:val="decimal"/>
      <w:lvlText w:val="%1.%2.%3"/>
      <w:lvlJc w:val="left"/>
      <w:pPr>
        <w:tabs>
          <w:tab w:val="num" w:pos="1440"/>
        </w:tabs>
        <w:ind w:left="1440" w:hanging="1440"/>
      </w:pPr>
      <w:rPr>
        <w:rFonts w:hint="default"/>
      </w:rPr>
    </w:lvl>
    <w:lvl w:ilvl="3">
      <w:start w:val="1"/>
      <w:numFmt w:val="decimal"/>
      <w:lvlText w:val="%1.%2.%3.%4"/>
      <w:lvlJc w:val="left"/>
      <w:pPr>
        <w:tabs>
          <w:tab w:val="num" w:pos="1440"/>
        </w:tabs>
        <w:ind w:left="1440" w:hanging="144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 w15:restartNumberingAfterBreak="0">
    <w:nsid w:val="79976615"/>
    <w:multiLevelType w:val="hybridMultilevel"/>
    <w:tmpl w:val="8670DCE4"/>
    <w:lvl w:ilvl="0" w:tplc="9CFC02B8">
      <w:start w:val="7"/>
      <w:numFmt w:val="decimal"/>
      <w:lvlText w:val="%1."/>
      <w:lvlJc w:val="left"/>
      <w:pPr>
        <w:tabs>
          <w:tab w:val="num" w:pos="1170"/>
        </w:tabs>
        <w:ind w:left="1170" w:hanging="81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66761355">
    <w:abstractNumId w:val="0"/>
  </w:num>
  <w:num w:numId="2" w16cid:durableId="120502215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6CB"/>
    <w:rsid w:val="00020161"/>
    <w:rsid w:val="00130543"/>
    <w:rsid w:val="00175F84"/>
    <w:rsid w:val="001E5D2D"/>
    <w:rsid w:val="00205651"/>
    <w:rsid w:val="00221E14"/>
    <w:rsid w:val="0028691E"/>
    <w:rsid w:val="002D0757"/>
    <w:rsid w:val="002F09A2"/>
    <w:rsid w:val="002F576D"/>
    <w:rsid w:val="002F7251"/>
    <w:rsid w:val="003153C5"/>
    <w:rsid w:val="003632DC"/>
    <w:rsid w:val="003979DA"/>
    <w:rsid w:val="00397D53"/>
    <w:rsid w:val="003B07CB"/>
    <w:rsid w:val="003B6C42"/>
    <w:rsid w:val="004938EF"/>
    <w:rsid w:val="00493960"/>
    <w:rsid w:val="004C274F"/>
    <w:rsid w:val="004D4CF1"/>
    <w:rsid w:val="00533AC8"/>
    <w:rsid w:val="005A44D0"/>
    <w:rsid w:val="005A60A5"/>
    <w:rsid w:val="005D03C6"/>
    <w:rsid w:val="0067137B"/>
    <w:rsid w:val="0069616E"/>
    <w:rsid w:val="006A70F1"/>
    <w:rsid w:val="007061F0"/>
    <w:rsid w:val="007237F8"/>
    <w:rsid w:val="007269D3"/>
    <w:rsid w:val="00791D9F"/>
    <w:rsid w:val="007E13CE"/>
    <w:rsid w:val="0080691C"/>
    <w:rsid w:val="00873A62"/>
    <w:rsid w:val="00976E86"/>
    <w:rsid w:val="009C460B"/>
    <w:rsid w:val="009E3DB4"/>
    <w:rsid w:val="00A3515B"/>
    <w:rsid w:val="00A954AD"/>
    <w:rsid w:val="00A959F2"/>
    <w:rsid w:val="00AC0364"/>
    <w:rsid w:val="00B025D4"/>
    <w:rsid w:val="00B24673"/>
    <w:rsid w:val="00BA6011"/>
    <w:rsid w:val="00C319D1"/>
    <w:rsid w:val="00C506CB"/>
    <w:rsid w:val="00D75234"/>
    <w:rsid w:val="00DC6794"/>
    <w:rsid w:val="00DC7161"/>
    <w:rsid w:val="00DD6C93"/>
    <w:rsid w:val="00E32B16"/>
    <w:rsid w:val="00E72403"/>
    <w:rsid w:val="00EA315A"/>
    <w:rsid w:val="00EF3DC5"/>
    <w:rsid w:val="00F01B4F"/>
    <w:rsid w:val="00F379AB"/>
    <w:rsid w:val="00FF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ocId w14:val="7155A05F"/>
  <w15:chartTrackingRefBased/>
  <w15:docId w15:val="{F0CC3E5B-DE75-445E-8921-191281724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Tiempo" w:hAnsi="Tiempo"/>
      <w:snapToGrid w:val="0"/>
      <w:sz w:val="28"/>
    </w:rPr>
  </w:style>
  <w:style w:type="paragraph" w:styleId="Heading1">
    <w:name w:val="heading 1"/>
    <w:basedOn w:val="Normal"/>
    <w:next w:val="Normal"/>
    <w:qFormat/>
    <w:pPr>
      <w:keepNext/>
      <w:jc w:val="right"/>
      <w:outlineLvl w:val="0"/>
    </w:pPr>
    <w:rPr>
      <w:rFonts w:ascii="Times New Roman" w:hAnsi="Times New Roman"/>
      <w:b/>
      <w:smallCaps/>
      <w:spacing w:val="-3"/>
      <w:sz w:val="24"/>
    </w:rPr>
  </w:style>
  <w:style w:type="paragraph" w:styleId="Heading2">
    <w:name w:val="heading 2"/>
    <w:basedOn w:val="Normal"/>
    <w:next w:val="Normal"/>
    <w:qFormat/>
    <w:pPr>
      <w:keepNext/>
      <w:tabs>
        <w:tab w:val="center" w:pos="4680"/>
      </w:tabs>
      <w:suppressAutoHyphens/>
      <w:spacing w:after="180"/>
      <w:jc w:val="both"/>
      <w:outlineLvl w:val="1"/>
    </w:pPr>
    <w:rPr>
      <w:rFonts w:ascii="Times New Roman" w:hAnsi="Times New Roman"/>
      <w:b/>
      <w:i/>
      <w:spacing w:val="-3"/>
      <w:sz w:val="24"/>
    </w:rPr>
  </w:style>
  <w:style w:type="paragraph" w:styleId="Heading3">
    <w:name w:val="heading 3"/>
    <w:basedOn w:val="Normal"/>
    <w:next w:val="Normal"/>
    <w:qFormat/>
    <w:pPr>
      <w:keepNext/>
      <w:widowControl/>
      <w:spacing w:after="180" w:line="360" w:lineRule="auto"/>
      <w:jc w:val="center"/>
      <w:outlineLvl w:val="2"/>
    </w:pPr>
    <w:rPr>
      <w:rFonts w:ascii="Times New Roman" w:hAnsi="Times New Roman"/>
      <w:b/>
      <w:bCs/>
      <w:sz w:val="24"/>
      <w:szCs w:val="28"/>
    </w:rPr>
  </w:style>
  <w:style w:type="paragraph" w:styleId="Heading4">
    <w:name w:val="heading 4"/>
    <w:basedOn w:val="Normal"/>
    <w:next w:val="Normal"/>
    <w:qFormat/>
    <w:pPr>
      <w:keepNext/>
      <w:widowControl/>
      <w:tabs>
        <w:tab w:val="left" w:pos="-720"/>
        <w:tab w:val="left" w:pos="0"/>
        <w:tab w:val="left" w:pos="720"/>
        <w:tab w:val="left" w:pos="1440"/>
        <w:tab w:val="left" w:pos="2160"/>
      </w:tabs>
      <w:suppressAutoHyphens/>
      <w:spacing w:after="180"/>
      <w:ind w:left="2880" w:hanging="2880"/>
      <w:jc w:val="center"/>
      <w:outlineLvl w:val="3"/>
    </w:pPr>
    <w:rPr>
      <w:rFonts w:ascii="Times New Roman" w:hAnsi="Times New Roman"/>
      <w:b/>
      <w:i/>
      <w:spacing w:val="-3"/>
      <w:sz w:val="24"/>
    </w:rPr>
  </w:style>
  <w:style w:type="paragraph" w:styleId="Heading5">
    <w:name w:val="heading 5"/>
    <w:basedOn w:val="Normal"/>
    <w:next w:val="Normal"/>
    <w:qFormat/>
    <w:pPr>
      <w:keepNext/>
      <w:tabs>
        <w:tab w:val="center" w:pos="4680"/>
      </w:tabs>
      <w:spacing w:after="180" w:line="480" w:lineRule="auto"/>
      <w:jc w:val="center"/>
      <w:outlineLvl w:val="4"/>
    </w:pPr>
    <w:rPr>
      <w:rFonts w:ascii="Times New Roman" w:hAnsi="Times New Roman"/>
      <w:b/>
      <w:spacing w:val="-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character" w:customStyle="1" w:styleId="Document8">
    <w:name w:val="Document 8"/>
    <w:basedOn w:val="DefaultParagraphFont"/>
  </w:style>
  <w:style w:type="character" w:customStyle="1" w:styleId="Document4">
    <w:name w:val="Document 4"/>
    <w:basedOn w:val="DefaultParagraphFont"/>
    <w:rPr>
      <w:b/>
      <w:i/>
      <w:sz w:val="28"/>
    </w:rPr>
  </w:style>
  <w:style w:type="character" w:customStyle="1" w:styleId="Document6">
    <w:name w:val="Document 6"/>
    <w:basedOn w:val="DefaultParagraphFont"/>
  </w:style>
  <w:style w:type="character" w:customStyle="1" w:styleId="Document5">
    <w:name w:val="Document 5"/>
    <w:basedOn w:val="DefaultParagraphFont"/>
  </w:style>
  <w:style w:type="character" w:customStyle="1" w:styleId="Document2">
    <w:name w:val="Document 2"/>
    <w:basedOn w:val="DefaultParagraphFont"/>
    <w:rPr>
      <w:rFonts w:ascii="Tiempo" w:hAnsi="Tiempo"/>
      <w:noProof w:val="0"/>
      <w:sz w:val="28"/>
      <w:lang w:val="en-US"/>
    </w:rPr>
  </w:style>
  <w:style w:type="character" w:customStyle="1" w:styleId="Document7">
    <w:name w:val="Document 7"/>
    <w:basedOn w:val="DefaultParagraphFont"/>
  </w:style>
  <w:style w:type="character" w:customStyle="1" w:styleId="Bibliogrphy">
    <w:name w:val="Bibliogrphy"/>
    <w:basedOn w:val="DefaultParagraphFont"/>
  </w:style>
  <w:style w:type="character" w:customStyle="1" w:styleId="RightPar1">
    <w:name w:val="Right Par 1"/>
    <w:basedOn w:val="DefaultParagraphFont"/>
  </w:style>
  <w:style w:type="character" w:customStyle="1" w:styleId="RightPar2">
    <w:name w:val="Right Par 2"/>
    <w:basedOn w:val="DefaultParagraphFont"/>
  </w:style>
  <w:style w:type="character" w:customStyle="1" w:styleId="Document3">
    <w:name w:val="Document 3"/>
    <w:basedOn w:val="DefaultParagraphFont"/>
    <w:rPr>
      <w:rFonts w:ascii="Tiempo" w:hAnsi="Tiempo"/>
      <w:noProof w:val="0"/>
      <w:sz w:val="28"/>
      <w:lang w:val="en-US"/>
    </w:rPr>
  </w:style>
  <w:style w:type="character" w:customStyle="1" w:styleId="RightPar3">
    <w:name w:val="Right Par 3"/>
    <w:basedOn w:val="DefaultParagraphFont"/>
  </w:style>
  <w:style w:type="character" w:customStyle="1" w:styleId="RightPar4">
    <w:name w:val="Right Par 4"/>
    <w:basedOn w:val="DefaultParagraphFont"/>
  </w:style>
  <w:style w:type="character" w:customStyle="1" w:styleId="RightPar5">
    <w:name w:val="Right Par 5"/>
    <w:basedOn w:val="DefaultParagraphFont"/>
  </w:style>
  <w:style w:type="character" w:customStyle="1" w:styleId="RightPar6">
    <w:name w:val="Right Par 6"/>
    <w:basedOn w:val="DefaultParagraphFont"/>
  </w:style>
  <w:style w:type="character" w:customStyle="1" w:styleId="RightPar7">
    <w:name w:val="Right Par 7"/>
    <w:basedOn w:val="DefaultParagraphFont"/>
  </w:style>
  <w:style w:type="character" w:customStyle="1" w:styleId="RightPar8">
    <w:name w:val="Right Par 8"/>
    <w:basedOn w:val="DefaultParagraphFont"/>
  </w:style>
  <w:style w:type="paragraph" w:customStyle="1" w:styleId="Document1">
    <w:name w:val="Document 1"/>
    <w:pPr>
      <w:keepNext/>
      <w:keepLines/>
      <w:widowControl w:val="0"/>
      <w:tabs>
        <w:tab w:val="left" w:pos="-720"/>
      </w:tabs>
      <w:suppressAutoHyphens/>
    </w:pPr>
    <w:rPr>
      <w:rFonts w:ascii="Tiempo" w:hAnsi="Tiempo"/>
      <w:snapToGrid w:val="0"/>
      <w:sz w:val="28"/>
    </w:rPr>
  </w:style>
  <w:style w:type="character" w:customStyle="1" w:styleId="DocInit">
    <w:name w:val="Doc Init"/>
    <w:basedOn w:val="DefaultParagraphFont"/>
  </w:style>
  <w:style w:type="character" w:customStyle="1" w:styleId="TechInit">
    <w:name w:val="Tech Init"/>
    <w:basedOn w:val="DefaultParagraphFont"/>
    <w:rPr>
      <w:rFonts w:ascii="Tiempo" w:hAnsi="Tiempo"/>
      <w:noProof w:val="0"/>
      <w:sz w:val="28"/>
      <w:lang w:val="en-US"/>
    </w:rPr>
  </w:style>
  <w:style w:type="character" w:customStyle="1" w:styleId="Technical5">
    <w:name w:val="Technical 5"/>
    <w:basedOn w:val="DefaultParagraphFont"/>
  </w:style>
  <w:style w:type="character" w:customStyle="1" w:styleId="Technical6">
    <w:name w:val="Technical 6"/>
    <w:basedOn w:val="DefaultParagraphFont"/>
  </w:style>
  <w:style w:type="character" w:customStyle="1" w:styleId="Technical2">
    <w:name w:val="Technical 2"/>
    <w:basedOn w:val="DefaultParagraphFont"/>
    <w:rPr>
      <w:rFonts w:ascii="Tiempo" w:hAnsi="Tiempo"/>
      <w:noProof w:val="0"/>
      <w:sz w:val="28"/>
      <w:lang w:val="en-US"/>
    </w:rPr>
  </w:style>
  <w:style w:type="character" w:customStyle="1" w:styleId="Technical3">
    <w:name w:val="Technical 3"/>
    <w:basedOn w:val="DefaultParagraphFont"/>
    <w:rPr>
      <w:rFonts w:ascii="Tiempo" w:hAnsi="Tiempo"/>
      <w:noProof w:val="0"/>
      <w:sz w:val="28"/>
      <w:lang w:val="en-US"/>
    </w:rPr>
  </w:style>
  <w:style w:type="character" w:customStyle="1" w:styleId="Technical4">
    <w:name w:val="Technical 4"/>
    <w:basedOn w:val="DefaultParagraphFont"/>
  </w:style>
  <w:style w:type="character" w:customStyle="1" w:styleId="Technical1">
    <w:name w:val="Technical 1"/>
    <w:basedOn w:val="DefaultParagraphFont"/>
    <w:rPr>
      <w:rFonts w:ascii="Tiempo" w:hAnsi="Tiempo"/>
      <w:noProof w:val="0"/>
      <w:sz w:val="28"/>
      <w:lang w:val="en-US"/>
    </w:rPr>
  </w:style>
  <w:style w:type="character" w:customStyle="1" w:styleId="Technical7">
    <w:name w:val="Technical 7"/>
    <w:basedOn w:val="DefaultParagraphFont"/>
  </w:style>
  <w:style w:type="character" w:customStyle="1" w:styleId="Technical8">
    <w:name w:val="Technical 8"/>
    <w:basedOn w:val="DefaultParagraphFont"/>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720"/>
      </w:tabs>
      <w:spacing w:after="120" w:line="360" w:lineRule="auto"/>
      <w:jc w:val="both"/>
    </w:pPr>
    <w:rPr>
      <w:rFonts w:ascii="Times New Roman" w:hAnsi="Times New Roman"/>
      <w:spacing w:val="-3"/>
      <w:sz w:val="24"/>
    </w:rPr>
  </w:style>
  <w:style w:type="paragraph" w:styleId="BodyText2">
    <w:name w:val="Body Text 2"/>
    <w:basedOn w:val="Normal"/>
    <w:pPr>
      <w:tabs>
        <w:tab w:val="left" w:pos="-720"/>
      </w:tabs>
      <w:spacing w:after="180" w:line="360" w:lineRule="auto"/>
    </w:pPr>
    <w:rPr>
      <w:spacing w:val="-4"/>
      <w:sz w:val="24"/>
    </w:rPr>
  </w:style>
  <w:style w:type="paragraph" w:styleId="BlockText">
    <w:name w:val="Block Text"/>
    <w:basedOn w:val="Normal"/>
    <w:pPr>
      <w:tabs>
        <w:tab w:val="left" w:pos="-720"/>
        <w:tab w:val="left" w:pos="0"/>
      </w:tabs>
      <w:suppressAutoHyphens/>
      <w:spacing w:after="180" w:line="360" w:lineRule="auto"/>
      <w:ind w:left="720" w:right="720" w:hanging="720"/>
      <w:jc w:val="both"/>
    </w:pPr>
    <w:rPr>
      <w:rFonts w:ascii="Times New Roman" w:hAnsi="Times New Roman"/>
      <w:spacing w:val="-4"/>
      <w:sz w:val="24"/>
    </w:rPr>
  </w:style>
  <w:style w:type="paragraph" w:styleId="BodyText3">
    <w:name w:val="Body Text 3"/>
    <w:basedOn w:val="Normal"/>
    <w:pPr>
      <w:tabs>
        <w:tab w:val="left" w:pos="-720"/>
        <w:tab w:val="left" w:pos="0"/>
      </w:tabs>
      <w:suppressAutoHyphens/>
      <w:spacing w:after="180"/>
      <w:ind w:right="-14"/>
      <w:jc w:val="both"/>
    </w:pPr>
    <w:rPr>
      <w:rFonts w:ascii="Times New Roman" w:hAnsi="Times New Roman"/>
      <w:spacing w:val="-3"/>
      <w:sz w:val="24"/>
    </w:rPr>
  </w:style>
  <w:style w:type="paragraph" w:styleId="BodyTextIndent">
    <w:name w:val="Body Text Indent"/>
    <w:basedOn w:val="Normal"/>
    <w:pPr>
      <w:widowControl/>
      <w:spacing w:after="180" w:line="360" w:lineRule="auto"/>
      <w:ind w:firstLine="720"/>
      <w:jc w:val="both"/>
    </w:pPr>
    <w:rPr>
      <w:rFonts w:ascii="Times New Roman" w:hAnsi="Times New Roman"/>
      <w:sz w:val="24"/>
      <w:szCs w:val="28"/>
    </w:rPr>
  </w:style>
  <w:style w:type="character" w:styleId="CommentReference">
    <w:name w:val="annotation reference"/>
    <w:basedOn w:val="DefaultParagraphFont"/>
    <w:semiHidden/>
    <w:rPr>
      <w:sz w:val="16"/>
      <w:szCs w:val="16"/>
    </w:rPr>
  </w:style>
  <w:style w:type="paragraph" w:styleId="CommentText">
    <w:name w:val="annotation text"/>
    <w:basedOn w:val="Normal"/>
    <w:semiHidden/>
    <w:rPr>
      <w:sz w:val="20"/>
    </w:rPr>
  </w:style>
  <w:style w:type="paragraph" w:styleId="BodyTextIndent2">
    <w:name w:val="Body Text Indent 2"/>
    <w:basedOn w:val="Normal"/>
    <w:pPr>
      <w:widowControl/>
      <w:tabs>
        <w:tab w:val="left" w:pos="-1080"/>
        <w:tab w:val="left" w:pos="-720"/>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line="480" w:lineRule="auto"/>
      <w:ind w:firstLine="720"/>
      <w:jc w:val="both"/>
    </w:pPr>
    <w:rPr>
      <w:rFonts w:ascii="Times New Roman" w:hAnsi="Times New Roman"/>
      <w:szCs w:val="28"/>
    </w:rPr>
  </w:style>
  <w:style w:type="paragraph" w:styleId="BalloonText">
    <w:name w:val="Balloon Text"/>
    <w:basedOn w:val="Normal"/>
    <w:semiHidden/>
    <w:rsid w:val="00B025D4"/>
    <w:rPr>
      <w:rFonts w:ascii="Tahoma" w:hAnsi="Tahoma" w:cs="Tahoma"/>
      <w:sz w:val="16"/>
      <w:szCs w:val="16"/>
    </w:rPr>
  </w:style>
  <w:style w:type="character" w:styleId="FollowedHyperlink">
    <w:name w:val="FollowedHyperlink"/>
    <w:basedOn w:val="DefaultParagraphFont"/>
    <w:rsid w:val="003B07CB"/>
    <w:rPr>
      <w:color w:val="800080"/>
      <w:u w:val="single"/>
    </w:rPr>
  </w:style>
  <w:style w:type="paragraph" w:styleId="Revision">
    <w:name w:val="Revision"/>
    <w:hidden/>
    <w:uiPriority w:val="99"/>
    <w:semiHidden/>
    <w:rsid w:val="003979DA"/>
    <w:rPr>
      <w:rFonts w:ascii="Tiempo" w:hAnsi="Tiempo"/>
      <w:snapToGrid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87192-BBA1-4CF9-A87D-6300D4621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154</TotalTime>
  <Pages>12</Pages>
  <Words>1916</Words>
  <Characters>10491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5.40C Failure to Warn/Instruct</vt:lpstr>
    </vt:vector>
  </TitlesOfParts>
  <Company> </Company>
  <LinksUpToDate>false</LinksUpToDate>
  <CharactersWithSpaces>12383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5.40C Failure to Warn/Instruct</dc:title>
  <dc:subject/>
  <dc:creator>Valued Gateway Client</dc:creator>
  <cp:keywords>5.40C Failure to Warn/Instruct</cp:keywords>
  <dc:description/>
  <cp:lastModifiedBy>Kristi Robinson</cp:lastModifiedBy>
  <cp:revision>16</cp:revision>
  <cp:lastPrinted>2007-02-06T18:51:00Z</cp:lastPrinted>
  <dcterms:created xsi:type="dcterms:W3CDTF">2022-10-19T14:14:00Z</dcterms:created>
  <dcterms:modified xsi:type="dcterms:W3CDTF">2023-11-03T18:09:00Z</dcterms:modified>
  <cp:category>Products Liability</cp:category>
</cp:coreProperties>
</file>