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03C8" w14:textId="77777777" w:rsidR="00856611" w:rsidRDefault="00856611" w:rsidP="00876C23">
      <w:pPr>
        <w:autoSpaceDE w:val="0"/>
        <w:autoSpaceDN w:val="0"/>
        <w:jc w:val="both"/>
        <w:rPr>
          <w:b/>
          <w:bCs/>
          <w:szCs w:val="28"/>
        </w:rPr>
      </w:pPr>
    </w:p>
    <w:p w14:paraId="37A1EE84" w14:textId="7C826E3A" w:rsidR="00AF6D52" w:rsidRPr="00876C23" w:rsidRDefault="00876C23" w:rsidP="00942EA9">
      <w:pPr>
        <w:tabs>
          <w:tab w:val="left" w:pos="1080"/>
        </w:tabs>
        <w:autoSpaceDE w:val="0"/>
        <w:autoSpaceDN w:val="0"/>
        <w:jc w:val="both"/>
        <w:rPr>
          <w:bCs/>
          <w:szCs w:val="28"/>
        </w:rPr>
      </w:pPr>
      <w:r w:rsidRPr="00D53314">
        <w:rPr>
          <w:b/>
          <w:bCs/>
          <w:sz w:val="28"/>
          <w:szCs w:val="28"/>
        </w:rPr>
        <w:t>5.76</w:t>
      </w:r>
      <w:r w:rsidRPr="00D53314">
        <w:rPr>
          <w:bCs/>
          <w:sz w:val="28"/>
          <w:szCs w:val="28"/>
        </w:rPr>
        <w:tab/>
      </w:r>
      <w:r w:rsidR="00AF6D52">
        <w:rPr>
          <w:b/>
          <w:sz w:val="28"/>
          <w:szCs w:val="28"/>
        </w:rPr>
        <w:t>NEGLIGENT HIRING</w:t>
      </w:r>
      <w:r w:rsidR="00AF6D52">
        <w:rPr>
          <w:rStyle w:val="FootnoteReference"/>
          <w:sz w:val="28"/>
          <w:szCs w:val="28"/>
        </w:rPr>
        <w:footnoteReference w:id="1"/>
      </w:r>
      <w:r w:rsidR="00AF6D52">
        <w:rPr>
          <w:sz w:val="28"/>
          <w:szCs w:val="28"/>
        </w:rPr>
        <w:t xml:space="preserve"> (</w:t>
      </w:r>
      <w:r w:rsidR="00942EA9">
        <w:rPr>
          <w:sz w:val="28"/>
          <w:szCs w:val="28"/>
        </w:rPr>
        <w:t>Approved 0</w:t>
      </w:r>
      <w:r w:rsidR="00AF6D52">
        <w:rPr>
          <w:sz w:val="28"/>
          <w:szCs w:val="28"/>
        </w:rPr>
        <w:t>4/</w:t>
      </w:r>
      <w:r w:rsidR="00942EA9">
        <w:rPr>
          <w:sz w:val="28"/>
          <w:szCs w:val="28"/>
        </w:rPr>
        <w:t>20</w:t>
      </w:r>
      <w:r w:rsidR="00AF6D52">
        <w:rPr>
          <w:sz w:val="28"/>
          <w:szCs w:val="28"/>
        </w:rPr>
        <w:t>07</w:t>
      </w:r>
      <w:r w:rsidR="00FE5BC7">
        <w:rPr>
          <w:sz w:val="28"/>
          <w:szCs w:val="28"/>
        </w:rPr>
        <w:t>; Revised 11/2022</w:t>
      </w:r>
      <w:r w:rsidR="00AF6D52">
        <w:rPr>
          <w:sz w:val="28"/>
          <w:szCs w:val="28"/>
        </w:rPr>
        <w:t>)</w:t>
      </w:r>
    </w:p>
    <w:p w14:paraId="5A481624" w14:textId="32CB9FA2" w:rsidR="00AF6D52" w:rsidRDefault="00AF6D52">
      <w:pPr>
        <w:jc w:val="both"/>
        <w:rPr>
          <w:sz w:val="28"/>
          <w:szCs w:val="28"/>
        </w:rPr>
      </w:pPr>
    </w:p>
    <w:p w14:paraId="48B7C75E" w14:textId="77777777" w:rsidR="00942EA9" w:rsidRDefault="00942EA9">
      <w:pPr>
        <w:jc w:val="both"/>
        <w:rPr>
          <w:sz w:val="28"/>
          <w:szCs w:val="28"/>
        </w:rPr>
      </w:pPr>
    </w:p>
    <w:p w14:paraId="1A865B44" w14:textId="7CDCD0A4" w:rsidR="00AF6D52" w:rsidRDefault="00AF6D52" w:rsidP="00942EA9">
      <w:pPr>
        <w:spacing w:line="480" w:lineRule="auto"/>
        <w:jc w:val="both"/>
        <w:rPr>
          <w:b/>
          <w:sz w:val="28"/>
          <w:szCs w:val="28"/>
        </w:rPr>
      </w:pPr>
      <w:r>
        <w:rPr>
          <w:b/>
          <w:iCs/>
          <w:sz w:val="28"/>
          <w:szCs w:val="28"/>
        </w:rPr>
        <w:t xml:space="preserve">A.  </w:t>
      </w:r>
      <w:r w:rsidR="00942EA9">
        <w:rPr>
          <w:b/>
          <w:iCs/>
          <w:sz w:val="28"/>
          <w:szCs w:val="28"/>
        </w:rPr>
        <w:tab/>
      </w:r>
      <w:r w:rsidR="00FD6449">
        <w:rPr>
          <w:b/>
          <w:iCs/>
          <w:sz w:val="28"/>
          <w:szCs w:val="28"/>
        </w:rPr>
        <w:t>Introduction</w:t>
      </w:r>
    </w:p>
    <w:p w14:paraId="2F6800AB" w14:textId="28F903EF" w:rsidR="00AF6D52" w:rsidRDefault="00AF6D52">
      <w:pPr>
        <w:spacing w:line="480" w:lineRule="auto"/>
        <w:jc w:val="both"/>
        <w:rPr>
          <w:i/>
          <w:sz w:val="28"/>
          <w:szCs w:val="28"/>
        </w:rPr>
      </w:pPr>
      <w:r>
        <w:rPr>
          <w:sz w:val="28"/>
          <w:szCs w:val="28"/>
        </w:rPr>
        <w:tab/>
        <w:t xml:space="preserve">The plaintiff, </w:t>
      </w:r>
      <w:r>
        <w:rPr>
          <w:i/>
          <w:iCs/>
          <w:sz w:val="28"/>
          <w:szCs w:val="28"/>
        </w:rPr>
        <w:t>[insert plaintiff’s name]</w:t>
      </w:r>
      <w:r>
        <w:rPr>
          <w:sz w:val="28"/>
          <w:szCs w:val="28"/>
        </w:rPr>
        <w:t xml:space="preserve">, alleges that the defendant, </w:t>
      </w:r>
      <w:r>
        <w:rPr>
          <w:i/>
          <w:iCs/>
          <w:sz w:val="28"/>
          <w:szCs w:val="28"/>
        </w:rPr>
        <w:t>[insert employer</w:t>
      </w:r>
      <w:r w:rsidR="00942EA9">
        <w:rPr>
          <w:i/>
          <w:iCs/>
          <w:sz w:val="28"/>
          <w:szCs w:val="28"/>
        </w:rPr>
        <w:t>’</w:t>
      </w:r>
      <w:r>
        <w:rPr>
          <w:i/>
          <w:iCs/>
          <w:sz w:val="28"/>
          <w:szCs w:val="28"/>
        </w:rPr>
        <w:t>s name]</w:t>
      </w:r>
      <w:r>
        <w:rPr>
          <w:iCs/>
          <w:sz w:val="28"/>
          <w:szCs w:val="28"/>
        </w:rPr>
        <w:t>,</w:t>
      </w:r>
      <w:r>
        <w:rPr>
          <w:sz w:val="28"/>
          <w:szCs w:val="28"/>
        </w:rPr>
        <w:t xml:space="preserve"> was negligent in the manner in which </w:t>
      </w:r>
      <w:r w:rsidR="00971B19">
        <w:rPr>
          <w:sz w:val="28"/>
          <w:szCs w:val="28"/>
        </w:rPr>
        <w:t xml:space="preserve">defendant </w:t>
      </w:r>
      <w:r w:rsidR="00971B19">
        <w:rPr>
          <w:i/>
          <w:iCs/>
          <w:sz w:val="28"/>
          <w:szCs w:val="28"/>
        </w:rPr>
        <w:t>[insert employer’s name]</w:t>
      </w:r>
      <w:r w:rsidR="00971B19">
        <w:rPr>
          <w:sz w:val="28"/>
          <w:szCs w:val="28"/>
        </w:rPr>
        <w:t xml:space="preserve"> </w:t>
      </w:r>
      <w:r>
        <w:rPr>
          <w:sz w:val="28"/>
          <w:szCs w:val="28"/>
        </w:rPr>
        <w:t xml:space="preserve">hired and supervised </w:t>
      </w:r>
      <w:r>
        <w:rPr>
          <w:i/>
          <w:iCs/>
          <w:sz w:val="28"/>
          <w:szCs w:val="28"/>
        </w:rPr>
        <w:t>[insert alleged dangerous employee’s name]</w:t>
      </w:r>
      <w:r>
        <w:rPr>
          <w:sz w:val="28"/>
          <w:szCs w:val="28"/>
        </w:rPr>
        <w:t xml:space="preserve">.  The plaintiff further claims that as a result of </w:t>
      </w:r>
      <w:r>
        <w:rPr>
          <w:i/>
          <w:iCs/>
          <w:sz w:val="28"/>
          <w:szCs w:val="28"/>
        </w:rPr>
        <w:t>[insert employer’s name]</w:t>
      </w:r>
      <w:r w:rsidR="002756A4">
        <w:rPr>
          <w:sz w:val="28"/>
          <w:szCs w:val="28"/>
        </w:rPr>
        <w:t>’</w:t>
      </w:r>
      <w:r>
        <w:rPr>
          <w:sz w:val="28"/>
          <w:szCs w:val="28"/>
        </w:rPr>
        <w:t xml:space="preserve">s negligence, </w:t>
      </w:r>
      <w:r w:rsidR="00971B19" w:rsidRPr="006D690F">
        <w:rPr>
          <w:i/>
          <w:iCs/>
          <w:sz w:val="28"/>
          <w:szCs w:val="28"/>
        </w:rPr>
        <w:t>[</w:t>
      </w:r>
      <w:r w:rsidR="00971B19">
        <w:rPr>
          <w:i/>
          <w:iCs/>
          <w:sz w:val="28"/>
          <w:szCs w:val="28"/>
        </w:rPr>
        <w:t>insert plaintiff’s name</w:t>
      </w:r>
      <w:r w:rsidR="00971B19" w:rsidRPr="006D690F">
        <w:rPr>
          <w:i/>
          <w:iCs/>
          <w:sz w:val="28"/>
          <w:szCs w:val="28"/>
        </w:rPr>
        <w:t>]</w:t>
      </w:r>
      <w:r>
        <w:rPr>
          <w:sz w:val="28"/>
          <w:szCs w:val="28"/>
        </w:rPr>
        <w:t xml:space="preserve"> was exposed to </w:t>
      </w:r>
      <w:r>
        <w:rPr>
          <w:i/>
          <w:iCs/>
          <w:sz w:val="28"/>
          <w:szCs w:val="28"/>
        </w:rPr>
        <w:t>[insert alleged dangerous employee’s name]</w:t>
      </w:r>
      <w:r>
        <w:rPr>
          <w:iCs/>
          <w:sz w:val="28"/>
          <w:szCs w:val="28"/>
        </w:rPr>
        <w:t>,</w:t>
      </w:r>
      <w:r>
        <w:rPr>
          <w:sz w:val="28"/>
          <w:szCs w:val="28"/>
        </w:rPr>
        <w:t xml:space="preserve"> a dangerous individual, who ultimately </w:t>
      </w:r>
      <w:r>
        <w:rPr>
          <w:i/>
          <w:iCs/>
          <w:sz w:val="28"/>
          <w:szCs w:val="28"/>
        </w:rPr>
        <w:t>[insert a brief description of the alleged damage or injury]</w:t>
      </w:r>
      <w:r>
        <w:rPr>
          <w:i/>
          <w:sz w:val="28"/>
          <w:szCs w:val="28"/>
        </w:rPr>
        <w:t>.</w:t>
      </w:r>
    </w:p>
    <w:p w14:paraId="43EE661B" w14:textId="1DC77703" w:rsidR="00AF6D52" w:rsidRDefault="00AF6D52" w:rsidP="00942EA9">
      <w:pPr>
        <w:spacing w:line="480" w:lineRule="auto"/>
        <w:jc w:val="both"/>
        <w:rPr>
          <w:b/>
          <w:sz w:val="28"/>
          <w:szCs w:val="28"/>
        </w:rPr>
      </w:pPr>
      <w:r>
        <w:rPr>
          <w:b/>
          <w:iCs/>
          <w:sz w:val="28"/>
          <w:szCs w:val="28"/>
        </w:rPr>
        <w:t xml:space="preserve">B.  </w:t>
      </w:r>
      <w:r w:rsidR="00942EA9">
        <w:rPr>
          <w:b/>
          <w:iCs/>
          <w:sz w:val="28"/>
          <w:szCs w:val="28"/>
        </w:rPr>
        <w:tab/>
      </w:r>
      <w:r w:rsidR="00FD6449">
        <w:rPr>
          <w:b/>
          <w:iCs/>
          <w:sz w:val="28"/>
          <w:szCs w:val="28"/>
        </w:rPr>
        <w:t>Duty Of An Employer Generally</w:t>
      </w:r>
    </w:p>
    <w:p w14:paraId="2BCFE650" w14:textId="77777777" w:rsidR="00AF6D52" w:rsidRDefault="00AF6D52">
      <w:pPr>
        <w:spacing w:line="480" w:lineRule="auto"/>
        <w:jc w:val="both"/>
        <w:rPr>
          <w:sz w:val="28"/>
          <w:szCs w:val="28"/>
        </w:rPr>
      </w:pPr>
      <w:r>
        <w:rPr>
          <w:sz w:val="28"/>
          <w:szCs w:val="28"/>
        </w:rPr>
        <w:tab/>
        <w:t>The mere happening of an unfortunate event does not provide a basis for liability.  Liability is established only if it is proven that a person owing a duty to another breached that duty, and the breach of duty caused the injury or damages claimed.</w:t>
      </w:r>
    </w:p>
    <w:p w14:paraId="61C34FFF" w14:textId="0400949F" w:rsidR="00AF6D52" w:rsidRDefault="00AF6D52">
      <w:pPr>
        <w:spacing w:line="480" w:lineRule="auto"/>
        <w:jc w:val="both"/>
        <w:rPr>
          <w:sz w:val="28"/>
          <w:szCs w:val="28"/>
        </w:rPr>
      </w:pPr>
      <w:r>
        <w:rPr>
          <w:sz w:val="28"/>
          <w:szCs w:val="28"/>
        </w:rPr>
        <w:tab/>
        <w:t xml:space="preserve">Generally, an employer is not liable for an employee’s criminal or tortious act, whether negligent or intentional, unless the act was committed during the course of, and within the scope of, employment.  An exception exists in the case of a claim of </w:t>
      </w:r>
      <w:r>
        <w:rPr>
          <w:sz w:val="28"/>
          <w:szCs w:val="28"/>
        </w:rPr>
        <w:lastRenderedPageBreak/>
        <w:t xml:space="preserve">negligent hiring.  An employer may be held responsible for the criminal or wrongful acts of </w:t>
      </w:r>
      <w:r w:rsidR="00971B19">
        <w:rPr>
          <w:sz w:val="28"/>
          <w:szCs w:val="28"/>
        </w:rPr>
        <w:t>an</w:t>
      </w:r>
      <w:r>
        <w:rPr>
          <w:sz w:val="28"/>
          <w:szCs w:val="28"/>
        </w:rPr>
        <w:t xml:space="preserve"> employee, even if those acts occur outside the scope of employment, if the employer was negligent in the manner in which </w:t>
      </w:r>
      <w:r w:rsidR="00971B19">
        <w:rPr>
          <w:sz w:val="28"/>
          <w:szCs w:val="28"/>
        </w:rPr>
        <w:t>the employer</w:t>
      </w:r>
      <w:r>
        <w:rPr>
          <w:sz w:val="28"/>
          <w:szCs w:val="28"/>
        </w:rPr>
        <w:t xml:space="preserve"> hired, supervised</w:t>
      </w:r>
      <w:r w:rsidR="00CC66DA">
        <w:rPr>
          <w:sz w:val="28"/>
          <w:szCs w:val="28"/>
        </w:rPr>
        <w:t>,</w:t>
      </w:r>
      <w:r>
        <w:rPr>
          <w:sz w:val="28"/>
          <w:szCs w:val="28"/>
        </w:rPr>
        <w:t xml:space="preserve"> or retained an inappropriate or unfit employee.</w:t>
      </w:r>
      <w:r>
        <w:rPr>
          <w:rStyle w:val="FootnoteReference"/>
          <w:sz w:val="28"/>
          <w:szCs w:val="28"/>
        </w:rPr>
        <w:footnoteReference w:id="2"/>
      </w:r>
    </w:p>
    <w:p w14:paraId="1CE0C7AD" w14:textId="0CE42233" w:rsidR="00AF6D52" w:rsidRDefault="00AF6D52" w:rsidP="00942EA9">
      <w:pPr>
        <w:spacing w:line="480" w:lineRule="auto"/>
        <w:jc w:val="both"/>
        <w:rPr>
          <w:b/>
          <w:sz w:val="28"/>
          <w:szCs w:val="28"/>
        </w:rPr>
      </w:pPr>
      <w:r>
        <w:rPr>
          <w:b/>
          <w:iCs/>
          <w:sz w:val="28"/>
          <w:szCs w:val="28"/>
        </w:rPr>
        <w:t xml:space="preserve">C.  </w:t>
      </w:r>
      <w:r w:rsidR="00942EA9">
        <w:rPr>
          <w:b/>
          <w:iCs/>
          <w:sz w:val="28"/>
          <w:szCs w:val="28"/>
        </w:rPr>
        <w:tab/>
      </w:r>
      <w:r w:rsidR="00FD6449">
        <w:rPr>
          <w:b/>
          <w:iCs/>
          <w:sz w:val="28"/>
          <w:szCs w:val="28"/>
        </w:rPr>
        <w:t>Negligent Hiring Exception</w:t>
      </w:r>
    </w:p>
    <w:p w14:paraId="7658E9BF" w14:textId="41EBAB0D" w:rsidR="00AF6D52" w:rsidRDefault="00AF6D52">
      <w:pPr>
        <w:spacing w:line="480" w:lineRule="auto"/>
        <w:jc w:val="both"/>
        <w:rPr>
          <w:sz w:val="28"/>
          <w:szCs w:val="28"/>
        </w:rPr>
      </w:pPr>
      <w:r>
        <w:rPr>
          <w:sz w:val="28"/>
          <w:szCs w:val="28"/>
        </w:rPr>
        <w:tab/>
        <w:t xml:space="preserve">An employer in a business providing services to the public has a duty to use reasonable care in selecting competent and fit employees for the work assigned to them. </w:t>
      </w:r>
      <w:r w:rsidR="00971B19">
        <w:rPr>
          <w:sz w:val="28"/>
          <w:szCs w:val="28"/>
        </w:rPr>
        <w:t xml:space="preserve"> </w:t>
      </w:r>
      <w:r>
        <w:rPr>
          <w:sz w:val="28"/>
          <w:szCs w:val="28"/>
        </w:rPr>
        <w:t>An employer is also bound to refrain from retaining the services of an unfit employee.</w:t>
      </w:r>
      <w:r>
        <w:rPr>
          <w:rStyle w:val="FootnoteReference"/>
          <w:sz w:val="28"/>
          <w:szCs w:val="28"/>
        </w:rPr>
        <w:footnoteReference w:id="3"/>
      </w:r>
      <w:r>
        <w:rPr>
          <w:sz w:val="28"/>
          <w:szCs w:val="28"/>
        </w:rPr>
        <w:t xml:space="preserve"> </w:t>
      </w:r>
    </w:p>
    <w:p w14:paraId="4C0C438A" w14:textId="05AEBF0B" w:rsidR="00856611" w:rsidRDefault="00AF6D52">
      <w:pPr>
        <w:spacing w:line="480" w:lineRule="auto"/>
        <w:jc w:val="both"/>
        <w:rPr>
          <w:sz w:val="28"/>
          <w:szCs w:val="28"/>
        </w:rPr>
      </w:pPr>
      <w:r>
        <w:rPr>
          <w:sz w:val="28"/>
          <w:szCs w:val="28"/>
        </w:rPr>
        <w:tab/>
        <w:t xml:space="preserve">An unfit employee is one whose dangerous propensities make </w:t>
      </w:r>
      <w:r w:rsidR="00971B19">
        <w:rPr>
          <w:sz w:val="28"/>
          <w:szCs w:val="28"/>
        </w:rPr>
        <w:t>the employee</w:t>
      </w:r>
      <w:r>
        <w:rPr>
          <w:sz w:val="28"/>
          <w:szCs w:val="28"/>
        </w:rPr>
        <w:t xml:space="preserve"> inappropriate for a particular job assignment</w:t>
      </w:r>
      <w:r>
        <w:rPr>
          <w:rStyle w:val="FootnoteReference"/>
          <w:sz w:val="28"/>
          <w:szCs w:val="28"/>
        </w:rPr>
        <w:footnoteReference w:id="4"/>
      </w:r>
      <w:r>
        <w:rPr>
          <w:sz w:val="28"/>
          <w:szCs w:val="28"/>
        </w:rPr>
        <w:t xml:space="preserve"> and who is likely to cause harm to the public if hired for that position.</w:t>
      </w:r>
    </w:p>
    <w:p w14:paraId="31EBF7D6" w14:textId="2700C02B" w:rsidR="00AF6D52" w:rsidRDefault="00856611" w:rsidP="00942EA9">
      <w:pPr>
        <w:spacing w:line="480" w:lineRule="auto"/>
        <w:jc w:val="both"/>
        <w:rPr>
          <w:b/>
          <w:sz w:val="28"/>
          <w:szCs w:val="28"/>
        </w:rPr>
      </w:pPr>
      <w:r>
        <w:rPr>
          <w:sz w:val="28"/>
          <w:szCs w:val="28"/>
        </w:rPr>
        <w:br w:type="page"/>
      </w:r>
      <w:r w:rsidR="00AF6D52">
        <w:rPr>
          <w:b/>
          <w:iCs/>
          <w:sz w:val="28"/>
          <w:szCs w:val="28"/>
        </w:rPr>
        <w:lastRenderedPageBreak/>
        <w:t xml:space="preserve">D.  </w:t>
      </w:r>
      <w:r w:rsidR="00942EA9">
        <w:rPr>
          <w:b/>
          <w:iCs/>
          <w:sz w:val="28"/>
          <w:szCs w:val="28"/>
        </w:rPr>
        <w:tab/>
      </w:r>
      <w:r w:rsidR="00FD6449">
        <w:rPr>
          <w:b/>
          <w:iCs/>
          <w:sz w:val="28"/>
          <w:szCs w:val="28"/>
        </w:rPr>
        <w:t>Elements Explained</w:t>
      </w:r>
    </w:p>
    <w:p w14:paraId="448F919A" w14:textId="212C3E19" w:rsidR="00AF6D52" w:rsidRDefault="00AF6D52">
      <w:pPr>
        <w:spacing w:line="480" w:lineRule="auto"/>
        <w:jc w:val="both"/>
        <w:rPr>
          <w:sz w:val="28"/>
          <w:szCs w:val="28"/>
        </w:rPr>
      </w:pPr>
      <w:r>
        <w:rPr>
          <w:sz w:val="28"/>
          <w:szCs w:val="28"/>
        </w:rPr>
        <w:tab/>
        <w:t xml:space="preserve">In this matter, you may hold the employer liable for the plaintiff’s injuries or damages if you find that </w:t>
      </w:r>
      <w:r w:rsidR="00971B19">
        <w:rPr>
          <w:sz w:val="28"/>
          <w:szCs w:val="28"/>
        </w:rPr>
        <w:t>the employer</w:t>
      </w:r>
      <w:r>
        <w:rPr>
          <w:sz w:val="28"/>
          <w:szCs w:val="28"/>
        </w:rPr>
        <w:t xml:space="preserve"> was negligent in failing to exercise due care in hiring, supervising</w:t>
      </w:r>
      <w:r w:rsidR="006D690F">
        <w:rPr>
          <w:sz w:val="28"/>
          <w:szCs w:val="28"/>
        </w:rPr>
        <w:t>,</w:t>
      </w:r>
      <w:r>
        <w:rPr>
          <w:sz w:val="28"/>
          <w:szCs w:val="28"/>
        </w:rPr>
        <w:t xml:space="preserve"> or retaining an unfit individual</w:t>
      </w:r>
      <w:r w:rsidR="006D690F">
        <w:rPr>
          <w:sz w:val="28"/>
          <w:szCs w:val="28"/>
        </w:rPr>
        <w:t>,</w:t>
      </w:r>
      <w:r>
        <w:rPr>
          <w:sz w:val="28"/>
          <w:szCs w:val="28"/>
        </w:rPr>
        <w:t xml:space="preserve"> and that such negligence was a proximate cause of the plaintiff’s injuries or damages.</w:t>
      </w:r>
      <w:r>
        <w:rPr>
          <w:rStyle w:val="FootnoteReference"/>
          <w:sz w:val="28"/>
          <w:szCs w:val="28"/>
        </w:rPr>
        <w:footnoteReference w:id="5"/>
      </w:r>
      <w:r>
        <w:rPr>
          <w:sz w:val="28"/>
          <w:szCs w:val="28"/>
        </w:rPr>
        <w:t xml:space="preserve">  </w:t>
      </w:r>
    </w:p>
    <w:p w14:paraId="52D19803" w14:textId="77777777" w:rsidR="00AF6D52" w:rsidRDefault="00AF6D52">
      <w:pPr>
        <w:spacing w:line="480" w:lineRule="auto"/>
        <w:jc w:val="both"/>
        <w:rPr>
          <w:sz w:val="28"/>
          <w:szCs w:val="28"/>
        </w:rPr>
      </w:pPr>
      <w:r>
        <w:rPr>
          <w:sz w:val="28"/>
          <w:szCs w:val="28"/>
        </w:rPr>
        <w:tab/>
        <w:t>In order to find that the employer failed to exercise reasonable care in hiring the employee in question,</w:t>
      </w:r>
      <w:r>
        <w:rPr>
          <w:rStyle w:val="FootnoteReference"/>
          <w:sz w:val="28"/>
          <w:szCs w:val="28"/>
        </w:rPr>
        <w:footnoteReference w:id="6"/>
      </w:r>
      <w:r>
        <w:rPr>
          <w:sz w:val="28"/>
          <w:szCs w:val="28"/>
        </w:rPr>
        <w:t xml:space="preserve"> you must find two things:</w:t>
      </w:r>
    </w:p>
    <w:p w14:paraId="4DC1877A" w14:textId="7295CC60" w:rsidR="00AF6D52" w:rsidRDefault="00AF6D52">
      <w:pPr>
        <w:spacing w:line="480" w:lineRule="auto"/>
        <w:jc w:val="both"/>
        <w:rPr>
          <w:sz w:val="28"/>
          <w:szCs w:val="28"/>
        </w:rPr>
      </w:pPr>
      <w:r>
        <w:rPr>
          <w:sz w:val="28"/>
          <w:szCs w:val="28"/>
        </w:rPr>
        <w:tab/>
        <w:t>One,</w:t>
      </w:r>
      <w:r>
        <w:rPr>
          <w:iCs/>
          <w:sz w:val="28"/>
          <w:szCs w:val="28"/>
        </w:rPr>
        <w:t xml:space="preserve"> </w:t>
      </w:r>
      <w:r>
        <w:rPr>
          <w:i/>
          <w:iCs/>
          <w:sz w:val="28"/>
          <w:szCs w:val="28"/>
        </w:rPr>
        <w:t>[insert employer’s name]</w:t>
      </w:r>
      <w:r>
        <w:rPr>
          <w:sz w:val="28"/>
          <w:szCs w:val="28"/>
        </w:rPr>
        <w:t xml:space="preserve"> knew or had reason to know of the particular unfitness, incompetence</w:t>
      </w:r>
      <w:r w:rsidR="006D690F">
        <w:rPr>
          <w:sz w:val="28"/>
          <w:szCs w:val="28"/>
        </w:rPr>
        <w:t>,</w:t>
      </w:r>
      <w:r>
        <w:rPr>
          <w:sz w:val="28"/>
          <w:szCs w:val="28"/>
        </w:rPr>
        <w:t xml:space="preserve"> or dangerous attributes of the employee, </w:t>
      </w:r>
      <w:r>
        <w:rPr>
          <w:i/>
          <w:iCs/>
          <w:sz w:val="28"/>
          <w:szCs w:val="28"/>
        </w:rPr>
        <w:t>[insert dangerous employee’s name]</w:t>
      </w:r>
      <w:r>
        <w:rPr>
          <w:rStyle w:val="FootnoteReference"/>
          <w:sz w:val="28"/>
          <w:szCs w:val="28"/>
        </w:rPr>
        <w:footnoteReference w:id="7"/>
      </w:r>
      <w:r>
        <w:rPr>
          <w:iCs/>
          <w:sz w:val="28"/>
          <w:szCs w:val="28"/>
        </w:rPr>
        <w:t xml:space="preserve">; and </w:t>
      </w:r>
      <w:r>
        <w:rPr>
          <w:sz w:val="28"/>
          <w:szCs w:val="28"/>
        </w:rPr>
        <w:t xml:space="preserve">  </w:t>
      </w:r>
    </w:p>
    <w:p w14:paraId="14772BBD" w14:textId="77777777" w:rsidR="00AF6D52" w:rsidRDefault="00AF6D52">
      <w:pPr>
        <w:spacing w:line="480" w:lineRule="auto"/>
        <w:ind w:firstLine="720"/>
        <w:jc w:val="both"/>
        <w:rPr>
          <w:sz w:val="28"/>
          <w:szCs w:val="28"/>
        </w:rPr>
      </w:pPr>
      <w:r>
        <w:rPr>
          <w:sz w:val="28"/>
          <w:szCs w:val="28"/>
        </w:rPr>
        <w:lastRenderedPageBreak/>
        <w:t xml:space="preserve">Two, </w:t>
      </w:r>
      <w:r>
        <w:rPr>
          <w:i/>
          <w:iCs/>
          <w:sz w:val="28"/>
          <w:szCs w:val="28"/>
        </w:rPr>
        <w:t>[insert employer’s name]</w:t>
      </w:r>
      <w:r>
        <w:rPr>
          <w:sz w:val="28"/>
          <w:szCs w:val="28"/>
        </w:rPr>
        <w:t xml:space="preserve"> could have reasonably foreseen that hiring a person with the employee’s attributes created a risk of harm to others, whether on or off the premises.</w:t>
      </w:r>
      <w:r>
        <w:rPr>
          <w:rStyle w:val="FootnoteReference"/>
          <w:sz w:val="28"/>
          <w:szCs w:val="28"/>
        </w:rPr>
        <w:footnoteReference w:id="8"/>
      </w:r>
    </w:p>
    <w:p w14:paraId="3AD5B206" w14:textId="7D4EB517" w:rsidR="00AF6D52" w:rsidRDefault="00AF6D52">
      <w:pPr>
        <w:spacing w:line="480" w:lineRule="auto"/>
        <w:jc w:val="both"/>
        <w:rPr>
          <w:sz w:val="28"/>
          <w:szCs w:val="28"/>
        </w:rPr>
      </w:pPr>
      <w:r>
        <w:rPr>
          <w:sz w:val="28"/>
          <w:szCs w:val="28"/>
        </w:rPr>
        <w:tab/>
        <w:t>An employer may be held liable if, during the hiring process or course of employment, the employer actually knew the employee had an inappropriate or dangerous characteristic, attribute</w:t>
      </w:r>
      <w:r w:rsidR="006D690F">
        <w:rPr>
          <w:sz w:val="28"/>
          <w:szCs w:val="28"/>
        </w:rPr>
        <w:t>,</w:t>
      </w:r>
      <w:r>
        <w:rPr>
          <w:sz w:val="28"/>
          <w:szCs w:val="28"/>
        </w:rPr>
        <w:t xml:space="preserve"> or tendency that made the employee an unacceptable candidate for the position.</w:t>
      </w:r>
      <w:r>
        <w:rPr>
          <w:rStyle w:val="FootnoteReference"/>
          <w:sz w:val="28"/>
          <w:szCs w:val="28"/>
        </w:rPr>
        <w:footnoteReference w:id="9"/>
      </w:r>
      <w:r>
        <w:rPr>
          <w:sz w:val="28"/>
          <w:szCs w:val="28"/>
        </w:rPr>
        <w:t xml:space="preserve"> </w:t>
      </w:r>
      <w:r w:rsidR="00971B19">
        <w:rPr>
          <w:sz w:val="28"/>
          <w:szCs w:val="28"/>
        </w:rPr>
        <w:t xml:space="preserve"> </w:t>
      </w:r>
      <w:r>
        <w:rPr>
          <w:sz w:val="28"/>
          <w:szCs w:val="28"/>
        </w:rPr>
        <w:t>An employer may also be held liable if reasonable investigation would have disclosed the employee’s undesirable characteristic, attribute</w:t>
      </w:r>
      <w:r w:rsidR="00971B19">
        <w:rPr>
          <w:sz w:val="28"/>
          <w:szCs w:val="28"/>
        </w:rPr>
        <w:t>,</w:t>
      </w:r>
      <w:r>
        <w:rPr>
          <w:sz w:val="28"/>
          <w:szCs w:val="28"/>
        </w:rPr>
        <w:t xml:space="preserve"> or tendency.</w:t>
      </w:r>
      <w:r>
        <w:rPr>
          <w:rStyle w:val="FootnoteReference"/>
          <w:sz w:val="28"/>
          <w:szCs w:val="28"/>
        </w:rPr>
        <w:footnoteReference w:id="10"/>
      </w:r>
      <w:r>
        <w:rPr>
          <w:sz w:val="28"/>
          <w:szCs w:val="28"/>
        </w:rPr>
        <w:t xml:space="preserve"> </w:t>
      </w:r>
    </w:p>
    <w:p w14:paraId="331B6B25" w14:textId="77777777" w:rsidR="00AF6D52" w:rsidRDefault="00AF6D52">
      <w:pPr>
        <w:spacing w:line="480" w:lineRule="auto"/>
        <w:jc w:val="both"/>
        <w:rPr>
          <w:sz w:val="28"/>
          <w:szCs w:val="28"/>
        </w:rPr>
      </w:pPr>
      <w:r>
        <w:rPr>
          <w:sz w:val="28"/>
          <w:szCs w:val="28"/>
        </w:rPr>
        <w:tab/>
        <w:t>In determining whether the employer exercised due care in this matter, you must examine all the circumstances surrounding the hiring and employment of the employee.</w:t>
      </w:r>
      <w:r>
        <w:rPr>
          <w:rStyle w:val="FootnoteReference"/>
          <w:sz w:val="28"/>
          <w:szCs w:val="28"/>
        </w:rPr>
        <w:footnoteReference w:id="11"/>
      </w:r>
      <w:r>
        <w:rPr>
          <w:sz w:val="28"/>
          <w:szCs w:val="28"/>
        </w:rPr>
        <w:t xml:space="preserve">  Since there is no hard and fast rule as to what constitutes an appropriate </w:t>
      </w:r>
      <w:r>
        <w:rPr>
          <w:sz w:val="28"/>
          <w:szCs w:val="28"/>
        </w:rPr>
        <w:lastRenderedPageBreak/>
        <w:t>hiring process, you should consider all of the facts and circumstances of this particular case, including but not limited to:</w:t>
      </w:r>
    </w:p>
    <w:p w14:paraId="3DEA318C" w14:textId="77777777" w:rsidR="00AF6D52" w:rsidRDefault="00AF6D52">
      <w:pPr>
        <w:spacing w:line="480" w:lineRule="auto"/>
        <w:jc w:val="both"/>
        <w:rPr>
          <w:sz w:val="28"/>
          <w:szCs w:val="28"/>
        </w:rPr>
      </w:pPr>
      <w:r>
        <w:rPr>
          <w:sz w:val="28"/>
          <w:szCs w:val="28"/>
        </w:rPr>
        <w:tab/>
        <w:t>a)</w:t>
      </w:r>
      <w:r>
        <w:rPr>
          <w:sz w:val="28"/>
          <w:szCs w:val="28"/>
        </w:rPr>
        <w:tab/>
        <w:t xml:space="preserve">The employer’s application and interview process; </w:t>
      </w:r>
    </w:p>
    <w:p w14:paraId="5C7BB028" w14:textId="77777777" w:rsidR="00AF6D52" w:rsidRDefault="00AF6D52">
      <w:pPr>
        <w:spacing w:line="480" w:lineRule="auto"/>
        <w:jc w:val="both"/>
        <w:rPr>
          <w:sz w:val="28"/>
          <w:szCs w:val="28"/>
        </w:rPr>
      </w:pPr>
      <w:r>
        <w:rPr>
          <w:sz w:val="28"/>
          <w:szCs w:val="28"/>
        </w:rPr>
        <w:tab/>
        <w:t>b)</w:t>
      </w:r>
      <w:r>
        <w:rPr>
          <w:sz w:val="28"/>
          <w:szCs w:val="28"/>
        </w:rPr>
        <w:tab/>
        <w:t>The nature of the job;</w:t>
      </w:r>
    </w:p>
    <w:p w14:paraId="1021E8BE" w14:textId="77777777" w:rsidR="00AF6D52" w:rsidRDefault="00AF6D52">
      <w:pPr>
        <w:spacing w:line="480" w:lineRule="auto"/>
        <w:jc w:val="both"/>
        <w:rPr>
          <w:sz w:val="28"/>
          <w:szCs w:val="28"/>
        </w:rPr>
      </w:pPr>
      <w:r>
        <w:rPr>
          <w:sz w:val="28"/>
          <w:szCs w:val="28"/>
        </w:rPr>
        <w:tab/>
        <w:t>c)</w:t>
      </w:r>
      <w:r>
        <w:rPr>
          <w:sz w:val="28"/>
          <w:szCs w:val="28"/>
        </w:rPr>
        <w:tab/>
        <w:t xml:space="preserve">The checking of references; </w:t>
      </w:r>
    </w:p>
    <w:p w14:paraId="7FEA7E50" w14:textId="77777777" w:rsidR="00AF6D52" w:rsidRDefault="00AF6D52">
      <w:pPr>
        <w:spacing w:line="480" w:lineRule="auto"/>
        <w:jc w:val="both"/>
        <w:rPr>
          <w:sz w:val="28"/>
          <w:szCs w:val="28"/>
        </w:rPr>
      </w:pPr>
      <w:r>
        <w:rPr>
          <w:sz w:val="28"/>
          <w:szCs w:val="28"/>
        </w:rPr>
        <w:tab/>
        <w:t>d)</w:t>
      </w:r>
      <w:r>
        <w:rPr>
          <w:sz w:val="28"/>
          <w:szCs w:val="28"/>
        </w:rPr>
        <w:tab/>
        <w:t>The nature and extent of information reasonably available to the employer at the time of hire, including access to public records of criminal or other convictions;</w:t>
      </w:r>
      <w:r>
        <w:rPr>
          <w:rStyle w:val="FootnoteReference"/>
          <w:sz w:val="28"/>
          <w:szCs w:val="28"/>
        </w:rPr>
        <w:footnoteReference w:id="12"/>
      </w:r>
      <w:r>
        <w:rPr>
          <w:sz w:val="28"/>
          <w:szCs w:val="28"/>
        </w:rPr>
        <w:t xml:space="preserve"> </w:t>
      </w:r>
    </w:p>
    <w:p w14:paraId="61FCB33A" w14:textId="15CBE22C" w:rsidR="00AF6D52" w:rsidRDefault="00AF6D52">
      <w:pPr>
        <w:spacing w:line="480" w:lineRule="auto"/>
        <w:jc w:val="both"/>
        <w:rPr>
          <w:sz w:val="28"/>
          <w:szCs w:val="28"/>
        </w:rPr>
      </w:pPr>
      <w:r>
        <w:rPr>
          <w:sz w:val="28"/>
          <w:szCs w:val="28"/>
        </w:rPr>
        <w:tab/>
        <w:t>e)</w:t>
      </w:r>
      <w:r>
        <w:rPr>
          <w:sz w:val="28"/>
          <w:szCs w:val="28"/>
        </w:rPr>
        <w:tab/>
        <w:t>Whether such information was available to the employer through reasonable and not extraordinary means, including extraordinary cost;</w:t>
      </w:r>
    </w:p>
    <w:p w14:paraId="3674B520" w14:textId="77777777" w:rsidR="00AF6D52" w:rsidRDefault="00AF6D52">
      <w:pPr>
        <w:spacing w:line="480" w:lineRule="auto"/>
        <w:ind w:firstLine="720"/>
        <w:jc w:val="both"/>
        <w:rPr>
          <w:sz w:val="28"/>
          <w:szCs w:val="28"/>
        </w:rPr>
      </w:pPr>
      <w:r>
        <w:rPr>
          <w:sz w:val="28"/>
          <w:szCs w:val="28"/>
        </w:rPr>
        <w:t xml:space="preserve">f)  </w:t>
      </w:r>
      <w:r>
        <w:rPr>
          <w:sz w:val="28"/>
          <w:szCs w:val="28"/>
        </w:rPr>
        <w:tab/>
        <w:t xml:space="preserve">The nature of the criminal conviction, if any; and </w:t>
      </w:r>
    </w:p>
    <w:p w14:paraId="36556C89" w14:textId="77777777" w:rsidR="00AF6D52" w:rsidRDefault="00AF6D52">
      <w:pPr>
        <w:spacing w:line="480" w:lineRule="auto"/>
        <w:jc w:val="both"/>
        <w:rPr>
          <w:sz w:val="28"/>
          <w:szCs w:val="28"/>
        </w:rPr>
      </w:pPr>
      <w:r>
        <w:rPr>
          <w:sz w:val="28"/>
          <w:szCs w:val="28"/>
        </w:rPr>
        <w:tab/>
        <w:t>g)</w:t>
      </w:r>
      <w:r>
        <w:rPr>
          <w:sz w:val="28"/>
          <w:szCs w:val="28"/>
        </w:rPr>
        <w:tab/>
        <w:t>Whether the pre-hiring investigation of the employee, if any, was adequate under the totality of the circumstances.</w:t>
      </w:r>
    </w:p>
    <w:p w14:paraId="06318A6E" w14:textId="77777777" w:rsidR="00AF6D52" w:rsidRDefault="00AF6D52">
      <w:pPr>
        <w:spacing w:line="480" w:lineRule="auto"/>
        <w:jc w:val="both"/>
        <w:rPr>
          <w:sz w:val="28"/>
          <w:szCs w:val="28"/>
        </w:rPr>
      </w:pPr>
      <w:r>
        <w:rPr>
          <w:sz w:val="28"/>
          <w:szCs w:val="28"/>
        </w:rPr>
        <w:lastRenderedPageBreak/>
        <w:tab/>
        <w:t>If you find the employer knew or could have known of the employee’s unfit characteristic, you must then decide whether the employer could have reasonably foreseen that such qualities created a risk of harm to others.</w:t>
      </w:r>
      <w:r>
        <w:rPr>
          <w:rStyle w:val="FootnoteReference"/>
          <w:sz w:val="28"/>
          <w:szCs w:val="28"/>
        </w:rPr>
        <w:footnoteReference w:id="13"/>
      </w:r>
    </w:p>
    <w:p w14:paraId="35985C74" w14:textId="1E3D0393" w:rsidR="00AF6D52" w:rsidRDefault="00AF6D52">
      <w:pPr>
        <w:spacing w:line="480" w:lineRule="auto"/>
        <w:jc w:val="both"/>
        <w:rPr>
          <w:sz w:val="28"/>
          <w:szCs w:val="28"/>
        </w:rPr>
      </w:pPr>
      <w:r>
        <w:rPr>
          <w:sz w:val="28"/>
          <w:szCs w:val="28"/>
        </w:rPr>
        <w:tab/>
        <w:t>Foresight, not hindsight, is the standard by which an employer’s duty of care must be judged.</w:t>
      </w:r>
      <w:r>
        <w:rPr>
          <w:rStyle w:val="FootnoteReference"/>
          <w:sz w:val="28"/>
          <w:szCs w:val="28"/>
        </w:rPr>
        <w:footnoteReference w:id="14"/>
      </w:r>
      <w:r>
        <w:rPr>
          <w:sz w:val="28"/>
          <w:szCs w:val="28"/>
        </w:rPr>
        <w:t xml:space="preserve">  The fact that one may look back now and decide the employee was unfit does not satisfy this element of the claim.  The employer must be judged on what </w:t>
      </w:r>
      <w:r w:rsidR="00971B19">
        <w:rPr>
          <w:sz w:val="28"/>
          <w:szCs w:val="28"/>
        </w:rPr>
        <w:t>the employer</w:t>
      </w:r>
      <w:r>
        <w:rPr>
          <w:sz w:val="28"/>
          <w:szCs w:val="28"/>
        </w:rPr>
        <w:t xml:space="preserve"> had reason to know at the time the employee was hired or retained.</w:t>
      </w:r>
      <w:r>
        <w:rPr>
          <w:rStyle w:val="FootnoteReference"/>
          <w:sz w:val="28"/>
          <w:szCs w:val="28"/>
        </w:rPr>
        <w:footnoteReference w:id="15"/>
      </w:r>
      <w:r>
        <w:rPr>
          <w:sz w:val="28"/>
          <w:szCs w:val="28"/>
        </w:rPr>
        <w:t xml:space="preserve">  In deciding if the employer knew or could have known about the employee’s characteristic and should have foreseen it to be dangerous, you may take into consideration the following:</w:t>
      </w:r>
    </w:p>
    <w:p w14:paraId="311F945A" w14:textId="77777777" w:rsidR="00AF6D52" w:rsidRDefault="00AF6D52">
      <w:pPr>
        <w:spacing w:line="480" w:lineRule="auto"/>
        <w:jc w:val="both"/>
        <w:rPr>
          <w:sz w:val="28"/>
          <w:szCs w:val="28"/>
        </w:rPr>
      </w:pPr>
      <w:r>
        <w:rPr>
          <w:sz w:val="28"/>
          <w:szCs w:val="28"/>
        </w:rPr>
        <w:tab/>
        <w:t>1)</w:t>
      </w:r>
      <w:r>
        <w:rPr>
          <w:sz w:val="28"/>
          <w:szCs w:val="28"/>
        </w:rPr>
        <w:tab/>
        <w:t xml:space="preserve">The nature of the work; </w:t>
      </w:r>
    </w:p>
    <w:p w14:paraId="238AFBBE" w14:textId="77777777" w:rsidR="00AF6D52" w:rsidRDefault="00AF6D52">
      <w:pPr>
        <w:spacing w:line="480" w:lineRule="auto"/>
        <w:jc w:val="both"/>
        <w:rPr>
          <w:sz w:val="28"/>
          <w:szCs w:val="28"/>
        </w:rPr>
      </w:pPr>
      <w:r>
        <w:rPr>
          <w:sz w:val="28"/>
          <w:szCs w:val="28"/>
        </w:rPr>
        <w:tab/>
        <w:t>2)</w:t>
      </w:r>
      <w:r>
        <w:rPr>
          <w:sz w:val="28"/>
          <w:szCs w:val="28"/>
        </w:rPr>
        <w:tab/>
        <w:t>The extent to which the employee would or would not be supervised;</w:t>
      </w:r>
    </w:p>
    <w:p w14:paraId="25E86099" w14:textId="77777777" w:rsidR="00AF6D52" w:rsidRDefault="00AF6D52">
      <w:pPr>
        <w:spacing w:line="480" w:lineRule="auto"/>
        <w:jc w:val="both"/>
        <w:rPr>
          <w:sz w:val="28"/>
          <w:szCs w:val="28"/>
        </w:rPr>
      </w:pPr>
      <w:r>
        <w:rPr>
          <w:sz w:val="28"/>
          <w:szCs w:val="28"/>
        </w:rPr>
        <w:tab/>
        <w:t>3)</w:t>
      </w:r>
      <w:r>
        <w:rPr>
          <w:sz w:val="28"/>
          <w:szCs w:val="28"/>
        </w:rPr>
        <w:tab/>
        <w:t>Whether the employee would have access to the home and valuables of the public in general, and the plaintiff in particular; and</w:t>
      </w:r>
    </w:p>
    <w:p w14:paraId="5ECE8660" w14:textId="73951D65" w:rsidR="00AF6D52" w:rsidRDefault="00AF6D52">
      <w:pPr>
        <w:spacing w:line="480" w:lineRule="auto"/>
        <w:jc w:val="both"/>
        <w:rPr>
          <w:sz w:val="28"/>
          <w:szCs w:val="28"/>
        </w:rPr>
      </w:pPr>
      <w:r>
        <w:rPr>
          <w:sz w:val="28"/>
          <w:szCs w:val="28"/>
        </w:rPr>
        <w:lastRenderedPageBreak/>
        <w:tab/>
        <w:t>4)</w:t>
      </w:r>
      <w:r>
        <w:rPr>
          <w:sz w:val="28"/>
          <w:szCs w:val="28"/>
        </w:rPr>
        <w:tab/>
        <w:t>The particular vulnerability, if any, of members of the public to abuse, harm</w:t>
      </w:r>
      <w:r w:rsidR="006D690F">
        <w:rPr>
          <w:sz w:val="28"/>
          <w:szCs w:val="28"/>
        </w:rPr>
        <w:t>,</w:t>
      </w:r>
      <w:r>
        <w:rPr>
          <w:sz w:val="28"/>
          <w:szCs w:val="28"/>
        </w:rPr>
        <w:t xml:space="preserve"> or other loss caused by exposure to a potentially unsuitable, incompetent</w:t>
      </w:r>
      <w:r w:rsidR="006D690F">
        <w:rPr>
          <w:sz w:val="28"/>
          <w:szCs w:val="28"/>
        </w:rPr>
        <w:t>,</w:t>
      </w:r>
      <w:r>
        <w:rPr>
          <w:sz w:val="28"/>
          <w:szCs w:val="28"/>
        </w:rPr>
        <w:t xml:space="preserve"> or dangerous employee.</w:t>
      </w:r>
      <w:r>
        <w:rPr>
          <w:rStyle w:val="FootnoteReference"/>
          <w:sz w:val="28"/>
          <w:szCs w:val="28"/>
        </w:rPr>
        <w:footnoteReference w:id="16"/>
      </w:r>
    </w:p>
    <w:p w14:paraId="340604F1" w14:textId="5BE3E68A" w:rsidR="00AF6D52" w:rsidRDefault="00AF6D52" w:rsidP="00942EA9">
      <w:pPr>
        <w:spacing w:line="480" w:lineRule="auto"/>
        <w:jc w:val="both"/>
        <w:rPr>
          <w:b/>
          <w:sz w:val="28"/>
          <w:szCs w:val="28"/>
        </w:rPr>
      </w:pPr>
      <w:r>
        <w:rPr>
          <w:b/>
          <w:iCs/>
          <w:sz w:val="28"/>
          <w:szCs w:val="28"/>
        </w:rPr>
        <w:t xml:space="preserve">E.  </w:t>
      </w:r>
      <w:r w:rsidR="00942EA9">
        <w:rPr>
          <w:b/>
          <w:iCs/>
          <w:sz w:val="28"/>
          <w:szCs w:val="28"/>
        </w:rPr>
        <w:tab/>
      </w:r>
      <w:r w:rsidR="00FD6449">
        <w:rPr>
          <w:b/>
          <w:iCs/>
          <w:sz w:val="28"/>
          <w:szCs w:val="28"/>
        </w:rPr>
        <w:t>Proximate Cause</w:t>
      </w:r>
    </w:p>
    <w:p w14:paraId="65F852E3" w14:textId="5CDF8608" w:rsidR="00AF6D52" w:rsidRDefault="00AF6D52">
      <w:pPr>
        <w:spacing w:line="480" w:lineRule="auto"/>
        <w:jc w:val="both"/>
        <w:rPr>
          <w:sz w:val="28"/>
          <w:szCs w:val="28"/>
        </w:rPr>
      </w:pPr>
      <w:r>
        <w:rPr>
          <w:sz w:val="28"/>
          <w:szCs w:val="28"/>
        </w:rPr>
        <w:tab/>
        <w:t xml:space="preserve">If you find the employer, </w:t>
      </w:r>
      <w:r>
        <w:rPr>
          <w:i/>
          <w:iCs/>
          <w:sz w:val="28"/>
          <w:szCs w:val="28"/>
        </w:rPr>
        <w:t>[insert employer’s name]</w:t>
      </w:r>
      <w:r>
        <w:rPr>
          <w:sz w:val="28"/>
          <w:szCs w:val="28"/>
        </w:rPr>
        <w:t xml:space="preserve">, was negligent in the manner in which </w:t>
      </w:r>
      <w:r w:rsidR="003F5CDC">
        <w:rPr>
          <w:i/>
          <w:iCs/>
          <w:sz w:val="28"/>
          <w:szCs w:val="28"/>
        </w:rPr>
        <w:t>[insert employer’s name]</w:t>
      </w:r>
      <w:r w:rsidR="003F5CDC">
        <w:rPr>
          <w:sz w:val="28"/>
          <w:szCs w:val="28"/>
        </w:rPr>
        <w:t xml:space="preserve"> </w:t>
      </w:r>
      <w:r>
        <w:rPr>
          <w:sz w:val="28"/>
          <w:szCs w:val="28"/>
        </w:rPr>
        <w:t xml:space="preserve">hired the employee, </w:t>
      </w:r>
      <w:r>
        <w:rPr>
          <w:i/>
          <w:iCs/>
          <w:sz w:val="28"/>
          <w:szCs w:val="28"/>
        </w:rPr>
        <w:t>[insert dangerous employee’s name]</w:t>
      </w:r>
      <w:r>
        <w:rPr>
          <w:sz w:val="28"/>
          <w:szCs w:val="28"/>
        </w:rPr>
        <w:t>, the employer still will not be liable for the plaintiff’s injury or damage unless you also find the employer’s negligence proximately caused the plaintiff’s injury or damage.</w:t>
      </w:r>
      <w:r>
        <w:rPr>
          <w:rStyle w:val="FootnoteReference"/>
          <w:sz w:val="28"/>
          <w:szCs w:val="28"/>
        </w:rPr>
        <w:footnoteReference w:id="17"/>
      </w:r>
    </w:p>
    <w:p w14:paraId="0290B74B" w14:textId="77777777" w:rsidR="00AF6D52" w:rsidRDefault="00AF6D52">
      <w:pPr>
        <w:spacing w:line="480" w:lineRule="auto"/>
        <w:jc w:val="both"/>
        <w:rPr>
          <w:sz w:val="28"/>
          <w:szCs w:val="28"/>
        </w:rPr>
      </w:pPr>
      <w:r>
        <w:rPr>
          <w:sz w:val="28"/>
          <w:szCs w:val="28"/>
        </w:rPr>
        <w:tab/>
        <w:t>This means that, in order to find the employer liable, you must find that the employer’s negligence in hiring the unfit employee was a substantial factor that singly, or in combination with one or more other causes, brought about the plaintiff’s injury or damage.</w:t>
      </w:r>
      <w:r>
        <w:rPr>
          <w:rStyle w:val="FootnoteReference"/>
          <w:sz w:val="28"/>
          <w:szCs w:val="28"/>
        </w:rPr>
        <w:footnoteReference w:id="18"/>
      </w:r>
    </w:p>
    <w:p w14:paraId="04D47026" w14:textId="77777777" w:rsidR="00AF6D52" w:rsidRDefault="00AF6D52">
      <w:pPr>
        <w:spacing w:line="480" w:lineRule="auto"/>
        <w:jc w:val="both"/>
      </w:pPr>
    </w:p>
    <w:sectPr w:rsidR="00AF6D52" w:rsidSect="00856611">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EB3B6" w14:textId="77777777" w:rsidR="00C3775E" w:rsidRDefault="00C3775E">
      <w:r>
        <w:separator/>
      </w:r>
    </w:p>
  </w:endnote>
  <w:endnote w:type="continuationSeparator" w:id="0">
    <w:p w14:paraId="799A1026" w14:textId="77777777" w:rsidR="00C3775E" w:rsidRDefault="00C3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9C11" w14:textId="77777777" w:rsidR="001B5F88" w:rsidRDefault="001B5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9F37" w14:textId="77777777" w:rsidR="001B5F88" w:rsidRDefault="001B5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B80A" w14:textId="77777777" w:rsidR="001B5F88" w:rsidRDefault="001B5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34AB" w14:textId="77777777" w:rsidR="00C3775E" w:rsidRDefault="00C3775E">
      <w:r>
        <w:separator/>
      </w:r>
    </w:p>
  </w:footnote>
  <w:footnote w:type="continuationSeparator" w:id="0">
    <w:p w14:paraId="6C706DBF" w14:textId="77777777" w:rsidR="00C3775E" w:rsidRDefault="00C3775E">
      <w:r>
        <w:continuationSeparator/>
      </w:r>
    </w:p>
  </w:footnote>
  <w:footnote w:id="1">
    <w:p w14:paraId="1E232656" w14:textId="0C47A5FE" w:rsidR="001D7946" w:rsidRDefault="001D7946" w:rsidP="00942EA9">
      <w:pPr>
        <w:jc w:val="both"/>
      </w:pPr>
      <w:r>
        <w:rPr>
          <w:rStyle w:val="FootnoteReference"/>
        </w:rPr>
        <w:footnoteRef/>
      </w:r>
      <w:r w:rsidR="00942EA9">
        <w:t xml:space="preserve">  </w:t>
      </w:r>
      <w:r>
        <w:t xml:space="preserve">The </w:t>
      </w:r>
      <w:r w:rsidR="006D690F">
        <w:t xml:space="preserve">Supreme </w:t>
      </w:r>
      <w:r>
        <w:t xml:space="preserve">Court specifically recognized the tort of negligent hiring in </w:t>
      </w:r>
      <w:r>
        <w:rPr>
          <w:i/>
        </w:rPr>
        <w:t>DiCosala v. Kay</w:t>
      </w:r>
      <w:r>
        <w:t xml:space="preserve">, 91 </w:t>
      </w:r>
      <w:r>
        <w:rPr>
          <w:i/>
        </w:rPr>
        <w:t>N.J.</w:t>
      </w:r>
      <w:r>
        <w:rPr>
          <w:i/>
          <w:iCs/>
        </w:rPr>
        <w:t xml:space="preserve"> </w:t>
      </w:r>
      <w:r>
        <w:t xml:space="preserve">159, 174 (1982).  The Appellate Division first identified the theory in </w:t>
      </w:r>
      <w:r>
        <w:rPr>
          <w:i/>
        </w:rPr>
        <w:t xml:space="preserve">Bennett v. T&amp;F Distrib. </w:t>
      </w:r>
      <w:smartTag w:uri="urn:schemas-microsoft-com:office:smarttags" w:element="place">
        <w:r>
          <w:rPr>
            <w:i/>
          </w:rPr>
          <w:t>Co.</w:t>
        </w:r>
      </w:smartTag>
      <w:r>
        <w:rPr>
          <w:i/>
        </w:rPr>
        <w:t>,</w:t>
      </w:r>
      <w:r>
        <w:t xml:space="preserve"> 117</w:t>
      </w:r>
      <w:r>
        <w:rPr>
          <w:i/>
        </w:rPr>
        <w:t xml:space="preserve"> N.J.  Super.</w:t>
      </w:r>
      <w:r>
        <w:t xml:space="preserve"> 429 (App. Div. 1971), </w:t>
      </w:r>
      <w:r>
        <w:rPr>
          <w:i/>
        </w:rPr>
        <w:t>cert. den</w:t>
      </w:r>
      <w:r>
        <w:t xml:space="preserve">. 60 </w:t>
      </w:r>
      <w:r>
        <w:rPr>
          <w:i/>
        </w:rPr>
        <w:t>N.J.</w:t>
      </w:r>
      <w:r>
        <w:rPr>
          <w:i/>
          <w:iCs/>
        </w:rPr>
        <w:t xml:space="preserve"> </w:t>
      </w:r>
      <w:r>
        <w:t>350 (1972).</w:t>
      </w:r>
    </w:p>
  </w:footnote>
  <w:footnote w:id="2">
    <w:p w14:paraId="458278A6" w14:textId="26B707AB" w:rsidR="001D7946" w:rsidRDefault="001D7946" w:rsidP="00942EA9">
      <w:pPr>
        <w:jc w:val="both"/>
      </w:pPr>
      <w:r>
        <w:rPr>
          <w:rStyle w:val="FootnoteReference"/>
        </w:rPr>
        <w:footnoteRef/>
      </w:r>
      <w:r w:rsidR="00942EA9">
        <w:t xml:space="preserve">  </w:t>
      </w:r>
      <w:r w:rsidRPr="00FE5BC7">
        <w:rPr>
          <w:i/>
        </w:rPr>
        <w:t>DiCosala v. Kay</w:t>
      </w:r>
      <w:r w:rsidRPr="00FE5BC7">
        <w:t xml:space="preserve">, 91 </w:t>
      </w:r>
      <w:r w:rsidRPr="00FE5BC7">
        <w:rPr>
          <w:i/>
        </w:rPr>
        <w:t>N.J.</w:t>
      </w:r>
      <w:r w:rsidRPr="00FE5BC7">
        <w:t xml:space="preserve"> 159, 173 (1982)</w:t>
      </w:r>
      <w:r w:rsidR="001B5F88" w:rsidRPr="00FE5BC7">
        <w:t xml:space="preserve">; </w:t>
      </w:r>
      <w:r w:rsidR="001B5F88" w:rsidRPr="00FE5BC7">
        <w:rPr>
          <w:i/>
          <w:iCs/>
        </w:rPr>
        <w:t>E.S. for G.S. v. Brunwsick Investment L</w:t>
      </w:r>
      <w:r w:rsidR="00744CA3">
        <w:rPr>
          <w:i/>
          <w:iCs/>
        </w:rPr>
        <w:t>td.</w:t>
      </w:r>
      <w:r w:rsidR="001B5F88" w:rsidRPr="00FE5BC7">
        <w:rPr>
          <w:i/>
          <w:iCs/>
        </w:rPr>
        <w:t xml:space="preserve"> Parternership</w:t>
      </w:r>
      <w:r w:rsidR="001B5F88">
        <w:rPr>
          <w:i/>
          <w:iCs/>
        </w:rPr>
        <w:t>,</w:t>
      </w:r>
      <w:r w:rsidR="00744CA3">
        <w:t xml:space="preserve"> 469 N.J. Super. 279, 288 (App. Div. 2021).</w:t>
      </w:r>
    </w:p>
    <w:p w14:paraId="4A6FC7CB" w14:textId="77777777" w:rsidR="00942EA9" w:rsidRPr="00744CA3" w:rsidRDefault="00942EA9" w:rsidP="00942EA9">
      <w:pPr>
        <w:jc w:val="both"/>
      </w:pPr>
    </w:p>
  </w:footnote>
  <w:footnote w:id="3">
    <w:p w14:paraId="395B561E" w14:textId="38C28CEA" w:rsidR="001D7946" w:rsidRDefault="001D7946" w:rsidP="00942EA9">
      <w:pPr>
        <w:jc w:val="both"/>
      </w:pPr>
      <w:r w:rsidRPr="00856611">
        <w:rPr>
          <w:rStyle w:val="FootnoteReference"/>
        </w:rPr>
        <w:footnoteRef/>
      </w:r>
      <w:r w:rsidR="00942EA9">
        <w:t xml:space="preserve">  </w:t>
      </w:r>
      <w:r w:rsidRPr="00856611">
        <w:t xml:space="preserve">The focus of the tort of negligent hiring is on the risk the employer creates by exposing members of the public to a potentially dangerous individual.  </w:t>
      </w:r>
      <w:r w:rsidRPr="00856611">
        <w:rPr>
          <w:i/>
        </w:rPr>
        <w:t>DiCosala v. Kay</w:t>
      </w:r>
      <w:r w:rsidRPr="00856611">
        <w:t>, 91</w:t>
      </w:r>
      <w:r w:rsidRPr="00856611">
        <w:rPr>
          <w:i/>
        </w:rPr>
        <w:t xml:space="preserve"> N.J</w:t>
      </w:r>
      <w:r w:rsidRPr="00856611">
        <w:rPr>
          <w:i/>
          <w:iCs/>
        </w:rPr>
        <w:t>.</w:t>
      </w:r>
      <w:r w:rsidRPr="00856611">
        <w:t xml:space="preserve"> 159, 172 (1982).  </w:t>
      </w:r>
      <w:r w:rsidRPr="00856611">
        <w:rPr>
          <w:i/>
        </w:rPr>
        <w:t xml:space="preserve">See </w:t>
      </w:r>
      <w:r w:rsidR="006D690F">
        <w:rPr>
          <w:i/>
        </w:rPr>
        <w:t>i</w:t>
      </w:r>
      <w:r w:rsidRPr="00856611">
        <w:rPr>
          <w:i/>
        </w:rPr>
        <w:t>d.</w:t>
      </w:r>
      <w:r w:rsidRPr="00856611">
        <w:t xml:space="preserve"> at 171 (citing </w:t>
      </w:r>
      <w:r w:rsidRPr="00856611">
        <w:rPr>
          <w:i/>
          <w:iCs/>
        </w:rPr>
        <w:t>Restatement 2d</w:t>
      </w:r>
      <w:r w:rsidRPr="00856611">
        <w:t xml:space="preserve"> </w:t>
      </w:r>
      <w:r w:rsidRPr="006D690F">
        <w:rPr>
          <w:i/>
          <w:iCs/>
        </w:rPr>
        <w:t>Agency</w:t>
      </w:r>
      <w:r w:rsidRPr="00856611">
        <w:t>, §</w:t>
      </w:r>
      <w:r w:rsidR="006D690F">
        <w:t xml:space="preserve"> </w:t>
      </w:r>
      <w:r w:rsidRPr="00856611">
        <w:t>213, Cmt</w:t>
      </w:r>
      <w:r w:rsidR="006D690F">
        <w:t>.</w:t>
      </w:r>
      <w:r w:rsidRPr="00856611">
        <w:t xml:space="preserve"> d: “Agent dangerous:  The principal may be negligent because he has reason to know that the servant or other agent, because of his qualities, is likely to harm others in view of the work or instrumentalities entrusted to him….”).  </w:t>
      </w:r>
      <w:r w:rsidRPr="00856611">
        <w:rPr>
          <w:i/>
        </w:rPr>
        <w:t xml:space="preserve">See also Bennett v. T&amp;F Distrib. </w:t>
      </w:r>
      <w:smartTag w:uri="urn:schemas-microsoft-com:office:smarttags" w:element="place">
        <w:r w:rsidRPr="00856611">
          <w:rPr>
            <w:i/>
          </w:rPr>
          <w:t>Co.</w:t>
        </w:r>
      </w:smartTag>
      <w:r w:rsidRPr="00856611">
        <w:t xml:space="preserve">, 117 </w:t>
      </w:r>
      <w:r w:rsidRPr="00856611">
        <w:rPr>
          <w:i/>
        </w:rPr>
        <w:t>N.J. Super.</w:t>
      </w:r>
      <w:r w:rsidRPr="00856611">
        <w:t xml:space="preserve"> 429, 445 (App. Div. 1971), </w:t>
      </w:r>
      <w:r w:rsidRPr="00856611">
        <w:rPr>
          <w:i/>
        </w:rPr>
        <w:t>cert. den.</w:t>
      </w:r>
      <w:r w:rsidRPr="00856611">
        <w:t xml:space="preserve"> 60 </w:t>
      </w:r>
      <w:r w:rsidRPr="00856611">
        <w:rPr>
          <w:i/>
        </w:rPr>
        <w:t>N.J.</w:t>
      </w:r>
      <w:r w:rsidRPr="00856611">
        <w:t xml:space="preserve"> 350 (1972) (“The protection of innocent third persons is a major interest in favor of a rule imposing a duty of reasonable care in the selection of employees or independent contractors who may have vicious propensities”).</w:t>
      </w:r>
    </w:p>
    <w:p w14:paraId="59C9F981" w14:textId="77777777" w:rsidR="00942EA9" w:rsidRPr="00856611" w:rsidRDefault="00942EA9" w:rsidP="00942EA9">
      <w:pPr>
        <w:jc w:val="both"/>
      </w:pPr>
    </w:p>
  </w:footnote>
  <w:footnote w:id="4">
    <w:p w14:paraId="00038043" w14:textId="1AA4B82A" w:rsidR="001D7946" w:rsidRDefault="001D7946" w:rsidP="00942EA9">
      <w:pPr>
        <w:jc w:val="both"/>
      </w:pPr>
      <w:r w:rsidRPr="00856611">
        <w:rPr>
          <w:rStyle w:val="FootnoteReference"/>
        </w:rPr>
        <w:footnoteRef/>
      </w:r>
      <w:r w:rsidR="00942EA9">
        <w:t xml:space="preserve">  </w:t>
      </w:r>
      <w:r w:rsidRPr="00856611">
        <w:t xml:space="preserve">“The dangerous quality in the [employee] may consist of his incompetence or unskillfulness due to his youth or his lack of experience considered with reference to the act to be performed.  An agent, although otherwise competent, may be incompetent because of his reckless or vicious disposition, and if an [employer], without exercising due care in selection, employs a vicious person to do an act which necessarily brings him in contact with others while in the performance of a duty, he is subject to liability for harm caused by the vicious propensity….”  </w:t>
      </w:r>
      <w:r w:rsidRPr="00856611">
        <w:rPr>
          <w:i/>
        </w:rPr>
        <w:t>DiCosala v. Kay</w:t>
      </w:r>
      <w:r w:rsidRPr="00856611">
        <w:t xml:space="preserve">, 91 </w:t>
      </w:r>
      <w:r w:rsidRPr="00856611">
        <w:rPr>
          <w:i/>
        </w:rPr>
        <w:t>N.J.</w:t>
      </w:r>
      <w:r w:rsidRPr="00856611">
        <w:t xml:space="preserve"> 159, 171 (1982) (citing </w:t>
      </w:r>
      <w:r w:rsidRPr="00856611">
        <w:rPr>
          <w:i/>
        </w:rPr>
        <w:t>Restatement 2d</w:t>
      </w:r>
      <w:r w:rsidRPr="00856611">
        <w:t xml:space="preserve"> </w:t>
      </w:r>
      <w:r w:rsidRPr="006D690F">
        <w:rPr>
          <w:i/>
          <w:iCs/>
        </w:rPr>
        <w:t>Agency</w:t>
      </w:r>
      <w:r w:rsidRPr="00856611">
        <w:t>, §</w:t>
      </w:r>
      <w:r w:rsidR="00942EA9">
        <w:t xml:space="preserve"> </w:t>
      </w:r>
      <w:r w:rsidRPr="00856611">
        <w:t xml:space="preserve">213, </w:t>
      </w:r>
      <w:r w:rsidR="00942EA9">
        <w:t xml:space="preserve">cmt. </w:t>
      </w:r>
      <w:r w:rsidRPr="00856611">
        <w:t>d).</w:t>
      </w:r>
    </w:p>
    <w:p w14:paraId="3C39DDDA" w14:textId="77777777" w:rsidR="006D690F" w:rsidRPr="00856611" w:rsidRDefault="006D690F" w:rsidP="00942EA9">
      <w:pPr>
        <w:jc w:val="both"/>
      </w:pPr>
    </w:p>
  </w:footnote>
  <w:footnote w:id="5">
    <w:p w14:paraId="215C4922" w14:textId="1AE7D30A" w:rsidR="001D7946" w:rsidRPr="00856611" w:rsidRDefault="001D7946" w:rsidP="00942EA9">
      <w:pPr>
        <w:jc w:val="both"/>
        <w:rPr>
          <w:noProof/>
        </w:rPr>
      </w:pPr>
      <w:r w:rsidRPr="00856611">
        <w:rPr>
          <w:rStyle w:val="FootnoteReference"/>
        </w:rPr>
        <w:footnoteRef/>
      </w:r>
      <w:r w:rsidR="00942EA9">
        <w:t xml:space="preserve">  </w:t>
      </w:r>
      <w:r w:rsidRPr="00856611">
        <w:t xml:space="preserve">Alternative </w:t>
      </w:r>
      <w:r w:rsidR="006D690F">
        <w:t>c</w:t>
      </w:r>
      <w:r w:rsidRPr="00856611">
        <w:t xml:space="preserve">harge: “Therefore, for you to find </w:t>
      </w:r>
      <w:r w:rsidR="006D690F">
        <w:t>[</w:t>
      </w:r>
      <w:r w:rsidRPr="00856611">
        <w:t>employer</w:t>
      </w:r>
      <w:r w:rsidR="006D690F">
        <w:t>]</w:t>
      </w:r>
      <w:r w:rsidRPr="00856611">
        <w:t xml:space="preserve"> liable for negligent hiring, you must first find</w:t>
      </w:r>
      <w:r w:rsidRPr="00856611">
        <w:rPr>
          <w:rStyle w:val="endnoterefe"/>
        </w:rPr>
        <w:t xml:space="preserve"> </w:t>
      </w:r>
      <w:r w:rsidR="006D690F">
        <w:rPr>
          <w:noProof/>
        </w:rPr>
        <w:t>[</w:t>
      </w:r>
      <w:r w:rsidRPr="00856611">
        <w:rPr>
          <w:noProof/>
        </w:rPr>
        <w:t>employer</w:t>
      </w:r>
      <w:r w:rsidR="006D690F">
        <w:rPr>
          <w:noProof/>
        </w:rPr>
        <w:t>]</w:t>
      </w:r>
      <w:r w:rsidRPr="00856611">
        <w:rPr>
          <w:noProof/>
        </w:rPr>
        <w:t xml:space="preserve"> negligent and then find that </w:t>
      </w:r>
      <w:r w:rsidR="00971B19">
        <w:t>employer’s</w:t>
      </w:r>
      <w:r w:rsidRPr="00856611">
        <w:t xml:space="preserve"> </w:t>
      </w:r>
      <w:r w:rsidRPr="00856611">
        <w:rPr>
          <w:noProof/>
        </w:rPr>
        <w:t>negligence proximately caused the plaintiff’s injuries or damages.”</w:t>
      </w:r>
    </w:p>
    <w:p w14:paraId="6C6E5912" w14:textId="77777777" w:rsidR="001D7946" w:rsidRPr="00856611" w:rsidRDefault="001D7946" w:rsidP="00942EA9">
      <w:pPr>
        <w:jc w:val="both"/>
      </w:pPr>
    </w:p>
  </w:footnote>
  <w:footnote w:id="6">
    <w:p w14:paraId="605BE649" w14:textId="00AFC7EF" w:rsidR="001D7946" w:rsidRDefault="001D7946" w:rsidP="00942EA9">
      <w:pPr>
        <w:jc w:val="both"/>
        <w:rPr>
          <w:noProof/>
        </w:rPr>
      </w:pPr>
      <w:r w:rsidRPr="00856611">
        <w:rPr>
          <w:rStyle w:val="FootnoteReference"/>
        </w:rPr>
        <w:footnoteRef/>
      </w:r>
      <w:r w:rsidR="00942EA9">
        <w:rPr>
          <w:noProof/>
        </w:rPr>
        <w:t xml:space="preserve">  </w:t>
      </w:r>
      <w:r w:rsidRPr="00856611">
        <w:rPr>
          <w:noProof/>
        </w:rPr>
        <w:t>An employer may not be held responsible under a theory of negligent hiring, supervision</w:t>
      </w:r>
      <w:r w:rsidR="006D690F">
        <w:rPr>
          <w:noProof/>
        </w:rPr>
        <w:t>,</w:t>
      </w:r>
      <w:r w:rsidRPr="00856611">
        <w:rPr>
          <w:noProof/>
        </w:rPr>
        <w:t xml:space="preserve"> or retention for criminal or other wrongful acts of its employee if</w:t>
      </w:r>
      <w:r w:rsidR="006D690F">
        <w:rPr>
          <w:noProof/>
        </w:rPr>
        <w:t>,</w:t>
      </w:r>
      <w:r w:rsidRPr="00856611">
        <w:rPr>
          <w:noProof/>
        </w:rPr>
        <w:t xml:space="preserve"> in the exercise of reasonable care and diligence, a reasonable employer would not have ascertained the employee’s incompetence, unfitness</w:t>
      </w:r>
      <w:r w:rsidR="006D690F">
        <w:rPr>
          <w:noProof/>
        </w:rPr>
        <w:t>,</w:t>
      </w:r>
      <w:r w:rsidRPr="00856611">
        <w:rPr>
          <w:noProof/>
        </w:rPr>
        <w:t xml:space="preserve"> or dangerous propensities.  In other words, the employer took reasonable care and diligence in researching that individual’s background, references, and other relevant information.</w:t>
      </w:r>
    </w:p>
    <w:p w14:paraId="3303459F" w14:textId="77777777" w:rsidR="00942EA9" w:rsidRPr="00856611" w:rsidRDefault="00942EA9" w:rsidP="00942EA9">
      <w:pPr>
        <w:jc w:val="both"/>
      </w:pPr>
    </w:p>
  </w:footnote>
  <w:footnote w:id="7">
    <w:p w14:paraId="58347352" w14:textId="29C97214" w:rsidR="00942EA9" w:rsidRPr="00D6475C" w:rsidRDefault="001D7946" w:rsidP="00942EA9">
      <w:pPr>
        <w:jc w:val="both"/>
        <w:rPr>
          <w:lang w:val="es-ES"/>
        </w:rPr>
      </w:pPr>
      <w:r w:rsidRPr="00856611">
        <w:rPr>
          <w:rStyle w:val="FootnoteReference"/>
        </w:rPr>
        <w:footnoteRef/>
      </w:r>
      <w:r w:rsidR="00942EA9">
        <w:rPr>
          <w:lang w:val="es-ES"/>
        </w:rPr>
        <w:t xml:space="preserve">  </w:t>
      </w:r>
      <w:r w:rsidRPr="00D6475C">
        <w:rPr>
          <w:i/>
          <w:lang w:val="es-ES"/>
        </w:rPr>
        <w:t>DiCosala v. Kay</w:t>
      </w:r>
      <w:r w:rsidRPr="00D6475C">
        <w:rPr>
          <w:lang w:val="es-ES"/>
        </w:rPr>
        <w:t xml:space="preserve">, 91 </w:t>
      </w:r>
      <w:r w:rsidRPr="00D6475C">
        <w:rPr>
          <w:i/>
          <w:lang w:val="es-ES"/>
        </w:rPr>
        <w:t>N.J.</w:t>
      </w:r>
      <w:r w:rsidRPr="00D6475C">
        <w:rPr>
          <w:lang w:val="es-ES"/>
        </w:rPr>
        <w:t xml:space="preserve"> 159, 173 (1982).</w:t>
      </w:r>
    </w:p>
  </w:footnote>
  <w:footnote w:id="8">
    <w:p w14:paraId="16C486AE" w14:textId="16A2C43A" w:rsidR="001D7946" w:rsidRDefault="001D7946" w:rsidP="00942EA9">
      <w:pPr>
        <w:jc w:val="both"/>
      </w:pPr>
      <w:r>
        <w:rPr>
          <w:rStyle w:val="FootnoteReference"/>
        </w:rPr>
        <w:footnoteRef/>
      </w:r>
      <w:r w:rsidR="00942EA9">
        <w:t xml:space="preserve">  </w:t>
      </w:r>
      <w:r w:rsidRPr="00FE5BC7">
        <w:rPr>
          <w:i/>
        </w:rPr>
        <w:t>DiCosala v. Kay</w:t>
      </w:r>
      <w:r w:rsidRPr="00FE5BC7">
        <w:t xml:space="preserve">, 91 </w:t>
      </w:r>
      <w:r w:rsidRPr="00FE5BC7">
        <w:rPr>
          <w:i/>
        </w:rPr>
        <w:t>N.J.</w:t>
      </w:r>
      <w:r w:rsidRPr="00FE5BC7">
        <w:t xml:space="preserve"> 159, 173 (1982)</w:t>
      </w:r>
      <w:r w:rsidR="001B5F88" w:rsidRPr="00FE5BC7">
        <w:t xml:space="preserve">; </w:t>
      </w:r>
      <w:r w:rsidR="001B5F88" w:rsidRPr="00A5645A">
        <w:rPr>
          <w:i/>
          <w:iCs/>
        </w:rPr>
        <w:t>E.S. for G.S. v. Brunwsick Investment L</w:t>
      </w:r>
      <w:r w:rsidR="009121AB">
        <w:rPr>
          <w:i/>
          <w:iCs/>
        </w:rPr>
        <w:t>t</w:t>
      </w:r>
      <w:r w:rsidR="001B5F88" w:rsidRPr="00A5645A">
        <w:rPr>
          <w:i/>
          <w:iCs/>
        </w:rPr>
        <w:t>d</w:t>
      </w:r>
      <w:r w:rsidR="006D690F">
        <w:rPr>
          <w:i/>
          <w:iCs/>
        </w:rPr>
        <w:t>.</w:t>
      </w:r>
      <w:r w:rsidR="001B5F88" w:rsidRPr="00A5645A">
        <w:rPr>
          <w:i/>
          <w:iCs/>
        </w:rPr>
        <w:t xml:space="preserve"> Parternership</w:t>
      </w:r>
      <w:r w:rsidR="001B5F88">
        <w:rPr>
          <w:i/>
          <w:iCs/>
        </w:rPr>
        <w:t>,</w:t>
      </w:r>
      <w:r w:rsidR="009121AB">
        <w:rPr>
          <w:i/>
          <w:iCs/>
        </w:rPr>
        <w:t xml:space="preserve"> </w:t>
      </w:r>
      <w:r w:rsidR="009121AB">
        <w:t xml:space="preserve">469 </w:t>
      </w:r>
      <w:r w:rsidR="009121AB" w:rsidRPr="006D690F">
        <w:rPr>
          <w:i/>
          <w:iCs/>
        </w:rPr>
        <w:t>N.J. Super.</w:t>
      </w:r>
      <w:r w:rsidR="009121AB">
        <w:t xml:space="preserve"> 279, 288 (App. Div. 2021)</w:t>
      </w:r>
      <w:r w:rsidRPr="00D6475C">
        <w:rPr>
          <w:lang w:val="es-ES"/>
        </w:rPr>
        <w:t xml:space="preserve">.  </w:t>
      </w:r>
      <w:r w:rsidRPr="00856611">
        <w:rPr>
          <w:i/>
          <w:iCs/>
        </w:rPr>
        <w:t xml:space="preserve">But </w:t>
      </w:r>
      <w:r w:rsidR="006D690F">
        <w:rPr>
          <w:i/>
          <w:iCs/>
        </w:rPr>
        <w:t>s</w:t>
      </w:r>
      <w:r w:rsidR="00971B19" w:rsidRPr="00856611">
        <w:rPr>
          <w:i/>
          <w:iCs/>
        </w:rPr>
        <w:t>ee</w:t>
      </w:r>
      <w:r w:rsidR="00971B19" w:rsidRPr="00856611">
        <w:rPr>
          <w:i/>
        </w:rPr>
        <w:t xml:space="preserve"> </w:t>
      </w:r>
      <w:r w:rsidRPr="00856611">
        <w:rPr>
          <w:i/>
        </w:rPr>
        <w:t>Johnson v. Usdin Louis Co., Inc.</w:t>
      </w:r>
      <w:r w:rsidRPr="00856611">
        <w:rPr>
          <w:iCs/>
        </w:rPr>
        <w:t>,</w:t>
      </w:r>
      <w:r w:rsidRPr="00856611">
        <w:t xml:space="preserve"> 248 </w:t>
      </w:r>
      <w:r w:rsidRPr="00856611">
        <w:rPr>
          <w:i/>
        </w:rPr>
        <w:t>N.J.</w:t>
      </w:r>
      <w:r w:rsidRPr="0017189D">
        <w:rPr>
          <w:iCs/>
        </w:rPr>
        <w:t xml:space="preserve"> </w:t>
      </w:r>
      <w:r w:rsidRPr="00856611">
        <w:rPr>
          <w:i/>
        </w:rPr>
        <w:t>Super.</w:t>
      </w:r>
      <w:r w:rsidRPr="00856611">
        <w:t xml:space="preserve"> 525 (App. Div. 1991), </w:t>
      </w:r>
      <w:r w:rsidRPr="00856611">
        <w:rPr>
          <w:i/>
          <w:iCs/>
        </w:rPr>
        <w:t>cert. den.</w:t>
      </w:r>
      <w:r w:rsidRPr="00856611">
        <w:t xml:space="preserve"> 126 </w:t>
      </w:r>
      <w:r w:rsidRPr="00856611">
        <w:rPr>
          <w:i/>
          <w:iCs/>
        </w:rPr>
        <w:t>N.J.</w:t>
      </w:r>
      <w:r w:rsidRPr="00856611">
        <w:t xml:space="preserve"> 386 (1991) (negligent hiring not found where the employer could not have reasonably foreseen the employee would steal nitric acid from the employer and use it to attack his wife and daughter.)</w:t>
      </w:r>
    </w:p>
    <w:p w14:paraId="2035468D" w14:textId="77777777" w:rsidR="00942EA9" w:rsidRPr="00856611" w:rsidRDefault="00942EA9" w:rsidP="00942EA9">
      <w:pPr>
        <w:jc w:val="both"/>
      </w:pPr>
    </w:p>
  </w:footnote>
  <w:footnote w:id="9">
    <w:p w14:paraId="0C6F8E9E" w14:textId="54CB98E6" w:rsidR="001D7946" w:rsidRPr="00942EA9" w:rsidRDefault="001D7946" w:rsidP="00942EA9">
      <w:pPr>
        <w:jc w:val="both"/>
        <w:rPr>
          <w:iCs/>
        </w:rPr>
      </w:pPr>
      <w:r w:rsidRPr="00856611">
        <w:rPr>
          <w:rStyle w:val="FootnoteReference"/>
        </w:rPr>
        <w:footnoteRef/>
      </w:r>
      <w:r w:rsidR="00942EA9">
        <w:t xml:space="preserve">  </w:t>
      </w:r>
      <w:r w:rsidRPr="00942EA9">
        <w:rPr>
          <w:iCs/>
        </w:rPr>
        <w:t>For instance, the employer may hire someone without a license as a taxi driver.</w:t>
      </w:r>
    </w:p>
    <w:p w14:paraId="55405521" w14:textId="77777777" w:rsidR="00942EA9" w:rsidRPr="00942EA9" w:rsidRDefault="00942EA9" w:rsidP="00942EA9">
      <w:pPr>
        <w:jc w:val="both"/>
        <w:rPr>
          <w:iCs/>
        </w:rPr>
      </w:pPr>
    </w:p>
  </w:footnote>
  <w:footnote w:id="10">
    <w:p w14:paraId="2EBEE8DD" w14:textId="3B0B0F93" w:rsidR="001D7946" w:rsidRDefault="001D7946" w:rsidP="00942EA9">
      <w:pPr>
        <w:jc w:val="both"/>
      </w:pPr>
      <w:r w:rsidRPr="00856611">
        <w:rPr>
          <w:rStyle w:val="FootnoteReference"/>
        </w:rPr>
        <w:footnoteRef/>
      </w:r>
      <w:r w:rsidR="00942EA9">
        <w:t xml:space="preserve">  </w:t>
      </w:r>
      <w:r w:rsidRPr="00856611">
        <w:t xml:space="preserve">Using the same example of a taxi driver, the employer may check that the applicant has a license on </w:t>
      </w:r>
      <w:r w:rsidR="009121AB">
        <w:t>applicant’s</w:t>
      </w:r>
      <w:r w:rsidRPr="00856611">
        <w:t xml:space="preserve"> person but not check whether the license was revoked.  Had the employer checked the status of the license, the employer would have a reason to know that the applicant was unlicensed.</w:t>
      </w:r>
    </w:p>
    <w:p w14:paraId="1CEC6707" w14:textId="77777777" w:rsidR="00942EA9" w:rsidRPr="00856611" w:rsidRDefault="00942EA9" w:rsidP="00942EA9">
      <w:pPr>
        <w:jc w:val="both"/>
      </w:pPr>
    </w:p>
  </w:footnote>
  <w:footnote w:id="11">
    <w:p w14:paraId="6CF8393A" w14:textId="16AD1DE1" w:rsidR="001D7946" w:rsidRPr="00856611" w:rsidRDefault="001D7946" w:rsidP="00942EA9">
      <w:pPr>
        <w:jc w:val="both"/>
      </w:pPr>
      <w:r w:rsidRPr="00856611">
        <w:rPr>
          <w:rStyle w:val="FootnoteReference"/>
        </w:rPr>
        <w:footnoteRef/>
      </w:r>
      <w:r w:rsidR="00942EA9">
        <w:t xml:space="preserve">  </w:t>
      </w:r>
      <w:r w:rsidRPr="00856611">
        <w:rPr>
          <w:i/>
        </w:rPr>
        <w:t>Lingar v. Live-In Companions, Inc.</w:t>
      </w:r>
      <w:r w:rsidRPr="00856611">
        <w:t xml:space="preserve">, 300 </w:t>
      </w:r>
      <w:r w:rsidRPr="00856611">
        <w:rPr>
          <w:i/>
        </w:rPr>
        <w:t>N.J. Super</w:t>
      </w:r>
      <w:r w:rsidRPr="00856611">
        <w:rPr>
          <w:i/>
          <w:iCs/>
        </w:rPr>
        <w:t>.</w:t>
      </w:r>
      <w:r w:rsidRPr="00856611">
        <w:t xml:space="preserve"> 22, 32 (</w:t>
      </w:r>
      <w:r w:rsidR="007322B4">
        <w:t xml:space="preserve">App. Div. </w:t>
      </w:r>
      <w:r w:rsidRPr="00856611">
        <w:t>1997).</w:t>
      </w:r>
    </w:p>
  </w:footnote>
  <w:footnote w:id="12">
    <w:p w14:paraId="09B86933" w14:textId="50061E79" w:rsidR="001D7946" w:rsidRPr="00856611" w:rsidRDefault="001D7946" w:rsidP="00942EA9">
      <w:pPr>
        <w:jc w:val="both"/>
      </w:pPr>
      <w:r>
        <w:rPr>
          <w:rStyle w:val="FootnoteReference"/>
        </w:rPr>
        <w:footnoteRef/>
      </w:r>
      <w:r w:rsidR="00942EA9">
        <w:t xml:space="preserve">  </w:t>
      </w:r>
      <w:r w:rsidRPr="00856611">
        <w:t xml:space="preserve">Insert the following if criminal history investigation is applicable: “In this case, the employee, </w:t>
      </w:r>
      <w:r w:rsidRPr="00856611">
        <w:rPr>
          <w:i/>
          <w:iCs/>
        </w:rPr>
        <w:t>[insert employee’s name]</w:t>
      </w:r>
      <w:r w:rsidRPr="00856611">
        <w:t xml:space="preserve">, had an undisclosed and undiscovered criminal history which made </w:t>
      </w:r>
      <w:r w:rsidR="009121AB">
        <w:t>the employee</w:t>
      </w:r>
      <w:r w:rsidRPr="00856611">
        <w:t xml:space="preserve"> unfit and dangerous for the duties of the position.  Liability of </w:t>
      </w:r>
      <w:r w:rsidRPr="00856611">
        <w:rPr>
          <w:i/>
          <w:iCs/>
        </w:rPr>
        <w:t>[insert employer’s name]</w:t>
      </w:r>
      <w:r w:rsidRPr="00856611">
        <w:t xml:space="preserve">, though, is not predicated solely upon </w:t>
      </w:r>
      <w:r w:rsidR="009121AB">
        <w:rPr>
          <w:i/>
          <w:iCs/>
        </w:rPr>
        <w:t>[insert employer’s name]</w:t>
      </w:r>
      <w:r w:rsidR="006D690F" w:rsidRPr="006D690F">
        <w:t>’s</w:t>
      </w:r>
      <w:r w:rsidR="009121AB" w:rsidRPr="006D690F">
        <w:t xml:space="preserve"> </w:t>
      </w:r>
      <w:r w:rsidRPr="00856611">
        <w:t>failure to investigate the criminal history of the applicant.  With regard to the criminal record of a candidate for employment, you must consider the totality of the circumstances, and specifically: (a) What investigation, if any, the employer could have legally taken; and (b) What information was reasonably available to the employer at the time of hire.</w:t>
      </w:r>
      <w:r w:rsidR="009121AB">
        <w:t>”</w:t>
      </w:r>
    </w:p>
    <w:p w14:paraId="02A87836" w14:textId="77777777" w:rsidR="001D7946" w:rsidRPr="00856611" w:rsidRDefault="001D7946" w:rsidP="00942EA9">
      <w:pPr>
        <w:jc w:val="both"/>
      </w:pPr>
    </w:p>
  </w:footnote>
  <w:footnote w:id="13">
    <w:p w14:paraId="14186951" w14:textId="47319599" w:rsidR="001D7946" w:rsidRDefault="001D7946" w:rsidP="00942EA9">
      <w:pPr>
        <w:jc w:val="both"/>
      </w:pPr>
      <w:r>
        <w:rPr>
          <w:rStyle w:val="FootnoteReference"/>
        </w:rPr>
        <w:footnoteRef/>
      </w:r>
      <w:r w:rsidR="00942EA9">
        <w:rPr>
          <w:lang w:val="es-ES"/>
        </w:rPr>
        <w:t xml:space="preserve">  </w:t>
      </w:r>
      <w:r w:rsidRPr="00D6475C">
        <w:rPr>
          <w:i/>
          <w:lang w:val="es-ES"/>
        </w:rPr>
        <w:t>DiCosala v. Kay</w:t>
      </w:r>
      <w:r w:rsidRPr="00D6475C">
        <w:rPr>
          <w:lang w:val="es-ES"/>
        </w:rPr>
        <w:t xml:space="preserve">, 91 </w:t>
      </w:r>
      <w:r w:rsidRPr="00D6475C">
        <w:rPr>
          <w:i/>
          <w:lang w:val="es-ES"/>
        </w:rPr>
        <w:t>N.J.</w:t>
      </w:r>
      <w:r w:rsidRPr="00D6475C">
        <w:rPr>
          <w:lang w:val="es-ES"/>
        </w:rPr>
        <w:t xml:space="preserve"> 159, 173 (1982). </w:t>
      </w:r>
      <w:r w:rsidRPr="00D6475C">
        <w:rPr>
          <w:i/>
          <w:iCs/>
          <w:lang w:val="es-ES"/>
        </w:rPr>
        <w:t xml:space="preserve"> </w:t>
      </w:r>
      <w:r w:rsidRPr="00856611">
        <w:rPr>
          <w:i/>
          <w:iCs/>
        </w:rPr>
        <w:t>But see Johnson v. Usdin Louis Co., Inc.</w:t>
      </w:r>
      <w:r w:rsidRPr="00856611">
        <w:t>, 248</w:t>
      </w:r>
      <w:r w:rsidRPr="00856611">
        <w:rPr>
          <w:i/>
        </w:rPr>
        <w:t xml:space="preserve"> N.J.</w:t>
      </w:r>
      <w:r w:rsidRPr="00856611">
        <w:rPr>
          <w:iCs/>
          <w:u w:val="single"/>
        </w:rPr>
        <w:t xml:space="preserve"> </w:t>
      </w:r>
      <w:r w:rsidRPr="00856611">
        <w:rPr>
          <w:i/>
        </w:rPr>
        <w:t>Super.</w:t>
      </w:r>
      <w:r w:rsidRPr="00856611">
        <w:rPr>
          <w:i/>
          <w:iCs/>
        </w:rPr>
        <w:t xml:space="preserve"> </w:t>
      </w:r>
      <w:r w:rsidRPr="00856611">
        <w:t xml:space="preserve">525 (App. Div. 1991), </w:t>
      </w:r>
      <w:r w:rsidRPr="00856611">
        <w:rPr>
          <w:i/>
        </w:rPr>
        <w:t>cert. den.</w:t>
      </w:r>
      <w:r w:rsidRPr="00856611">
        <w:t xml:space="preserve"> 126 </w:t>
      </w:r>
      <w:r w:rsidRPr="00856611">
        <w:rPr>
          <w:i/>
        </w:rPr>
        <w:t>N.J.</w:t>
      </w:r>
      <w:r w:rsidRPr="00856611">
        <w:t xml:space="preserve"> 386 (1991) (</w:t>
      </w:r>
      <w:r w:rsidR="00942EA9">
        <w:t>w</w:t>
      </w:r>
      <w:r w:rsidRPr="00856611">
        <w:t>here the Appellate Division refused to find negligent hiring</w:t>
      </w:r>
      <w:r w:rsidR="006D690F">
        <w:t>,</w:t>
      </w:r>
      <w:r w:rsidRPr="00856611">
        <w:t xml:space="preserve"> judging the employer could not have reasonably foreseen the employee would steal nitric acid from the employer and use it to attack his wife and daughter.)</w:t>
      </w:r>
    </w:p>
    <w:p w14:paraId="13308381" w14:textId="77777777" w:rsidR="006D690F" w:rsidRPr="00856611" w:rsidRDefault="006D690F" w:rsidP="00942EA9">
      <w:pPr>
        <w:jc w:val="both"/>
      </w:pPr>
    </w:p>
  </w:footnote>
  <w:footnote w:id="14">
    <w:p w14:paraId="078CF6AA" w14:textId="631E4289" w:rsidR="001D7946" w:rsidRDefault="001D7946" w:rsidP="00942EA9">
      <w:pPr>
        <w:jc w:val="both"/>
      </w:pPr>
      <w:r w:rsidRPr="00856611">
        <w:rPr>
          <w:rStyle w:val="FootnoteReference"/>
        </w:rPr>
        <w:footnoteRef/>
      </w:r>
      <w:r w:rsidR="00942EA9">
        <w:t xml:space="preserve">  </w:t>
      </w:r>
      <w:r w:rsidRPr="00856611">
        <w:rPr>
          <w:i/>
        </w:rPr>
        <w:t>Johnson v. Usdin Louis Co., Inc.</w:t>
      </w:r>
      <w:r w:rsidRPr="00856611">
        <w:t xml:space="preserve">, 248 </w:t>
      </w:r>
      <w:r w:rsidRPr="00856611">
        <w:rPr>
          <w:i/>
        </w:rPr>
        <w:t>N.J. Super.</w:t>
      </w:r>
      <w:r w:rsidRPr="00856611">
        <w:t xml:space="preserve"> 525 (App. Div. 1991),</w:t>
      </w:r>
      <w:r w:rsidRPr="00856611">
        <w:rPr>
          <w:i/>
        </w:rPr>
        <w:t xml:space="preserve"> cert. den</w:t>
      </w:r>
      <w:r w:rsidRPr="00856611">
        <w:t xml:space="preserve">. 126 </w:t>
      </w:r>
      <w:r w:rsidRPr="00856611">
        <w:rPr>
          <w:i/>
        </w:rPr>
        <w:t>N.J.</w:t>
      </w:r>
      <w:r w:rsidRPr="00856611">
        <w:t xml:space="preserve"> 386 (1991) (quoting</w:t>
      </w:r>
      <w:r w:rsidRPr="00856611">
        <w:rPr>
          <w:i/>
          <w:iCs/>
        </w:rPr>
        <w:t xml:space="preserve"> </w:t>
      </w:r>
      <w:r w:rsidRPr="00856611">
        <w:rPr>
          <w:i/>
        </w:rPr>
        <w:t>Hill v. Yaskin</w:t>
      </w:r>
      <w:r w:rsidRPr="00856611">
        <w:t xml:space="preserve">, 75 </w:t>
      </w:r>
      <w:r w:rsidRPr="00856611">
        <w:rPr>
          <w:i/>
        </w:rPr>
        <w:t>N.J.</w:t>
      </w:r>
      <w:r w:rsidRPr="00856611">
        <w:t xml:space="preserve"> 139, 144 (1977)).</w:t>
      </w:r>
    </w:p>
    <w:p w14:paraId="75F4F264" w14:textId="77777777" w:rsidR="00942EA9" w:rsidRPr="00856611" w:rsidRDefault="00942EA9" w:rsidP="00942EA9">
      <w:pPr>
        <w:jc w:val="both"/>
      </w:pPr>
    </w:p>
  </w:footnote>
  <w:footnote w:id="15">
    <w:p w14:paraId="45DF7EA5" w14:textId="4E5EAD2D" w:rsidR="001D7946" w:rsidRPr="00942EA9" w:rsidRDefault="001D7946" w:rsidP="00942EA9">
      <w:pPr>
        <w:jc w:val="both"/>
        <w:rPr>
          <w:iCs/>
        </w:rPr>
      </w:pPr>
      <w:r w:rsidRPr="00856611">
        <w:rPr>
          <w:rStyle w:val="FootnoteReference"/>
        </w:rPr>
        <w:footnoteRef/>
      </w:r>
      <w:r w:rsidR="00942EA9">
        <w:t xml:space="preserve">  </w:t>
      </w:r>
      <w:r w:rsidRPr="00942EA9">
        <w:rPr>
          <w:iCs/>
        </w:rPr>
        <w:t xml:space="preserve">The Foreseeability </w:t>
      </w:r>
      <w:r w:rsidR="007322B4">
        <w:rPr>
          <w:iCs/>
        </w:rPr>
        <w:t xml:space="preserve">(As Affecting Negligence) </w:t>
      </w:r>
      <w:r w:rsidR="00942EA9">
        <w:rPr>
          <w:iCs/>
        </w:rPr>
        <w:t>c</w:t>
      </w:r>
      <w:r w:rsidRPr="00942EA9">
        <w:rPr>
          <w:iCs/>
        </w:rPr>
        <w:t xml:space="preserve">harge, </w:t>
      </w:r>
      <w:r w:rsidR="00942EA9">
        <w:rPr>
          <w:iCs/>
        </w:rPr>
        <w:t xml:space="preserve">MCJC </w:t>
      </w:r>
      <w:r w:rsidRPr="00942EA9">
        <w:rPr>
          <w:iCs/>
        </w:rPr>
        <w:t>5.10B, may be used to supplement.</w:t>
      </w:r>
    </w:p>
    <w:p w14:paraId="19EFAC5A" w14:textId="77777777" w:rsidR="00942EA9" w:rsidRPr="00856611" w:rsidRDefault="00942EA9" w:rsidP="00942EA9">
      <w:pPr>
        <w:jc w:val="both"/>
      </w:pPr>
    </w:p>
  </w:footnote>
  <w:footnote w:id="16">
    <w:p w14:paraId="2A0A6432" w14:textId="1424724E" w:rsidR="001D7946" w:rsidRDefault="001D7946" w:rsidP="00942EA9">
      <w:pPr>
        <w:jc w:val="both"/>
      </w:pPr>
      <w:r w:rsidRPr="00856611">
        <w:rPr>
          <w:rStyle w:val="FootnoteReference"/>
        </w:rPr>
        <w:footnoteRef/>
      </w:r>
      <w:r w:rsidR="00942EA9">
        <w:rPr>
          <w:i/>
          <w:iCs/>
        </w:rPr>
        <w:t xml:space="preserve">  </w:t>
      </w:r>
      <w:r w:rsidRPr="003F5CDC">
        <w:rPr>
          <w:i/>
          <w:iCs/>
        </w:rPr>
        <w:t>Lingar v. Live-In Companions, Inc.</w:t>
      </w:r>
      <w:r w:rsidRPr="00856611">
        <w:t xml:space="preserve">, 300 </w:t>
      </w:r>
      <w:r w:rsidRPr="003F5CDC">
        <w:rPr>
          <w:i/>
          <w:iCs/>
        </w:rPr>
        <w:t>N.J.</w:t>
      </w:r>
      <w:r w:rsidRPr="00856611">
        <w:t xml:space="preserve"> Super. 22, 23 (</w:t>
      </w:r>
      <w:r w:rsidR="007322B4">
        <w:t xml:space="preserve">App. Div. </w:t>
      </w:r>
      <w:r w:rsidRPr="00856611">
        <w:t>1997)</w:t>
      </w:r>
      <w:r w:rsidR="007322B4">
        <w:t>,</w:t>
      </w:r>
      <w:r w:rsidRPr="00856611">
        <w:t xml:space="preserve"> discusses these factors at some length. </w:t>
      </w:r>
    </w:p>
    <w:p w14:paraId="71DCDAFB" w14:textId="77777777" w:rsidR="00942EA9" w:rsidRPr="00856611" w:rsidRDefault="00942EA9" w:rsidP="00942EA9">
      <w:pPr>
        <w:jc w:val="both"/>
      </w:pPr>
    </w:p>
  </w:footnote>
  <w:footnote w:id="17">
    <w:p w14:paraId="6BB2AD59" w14:textId="3F65E515" w:rsidR="001D7946" w:rsidRDefault="001D7946" w:rsidP="00942EA9">
      <w:pPr>
        <w:jc w:val="both"/>
        <w:rPr>
          <w:lang w:val="es-ES"/>
        </w:rPr>
      </w:pPr>
      <w:r w:rsidRPr="00856611">
        <w:rPr>
          <w:rStyle w:val="FootnoteReference"/>
        </w:rPr>
        <w:footnoteRef/>
      </w:r>
      <w:r w:rsidRPr="00D6475C">
        <w:rPr>
          <w:lang w:val="es-ES"/>
        </w:rPr>
        <w:t xml:space="preserve">  </w:t>
      </w:r>
      <w:r w:rsidRPr="00D6475C">
        <w:rPr>
          <w:i/>
          <w:lang w:val="es-ES"/>
        </w:rPr>
        <w:t>DiCosala v. Kay</w:t>
      </w:r>
      <w:r w:rsidRPr="00D6475C">
        <w:rPr>
          <w:lang w:val="es-ES"/>
        </w:rPr>
        <w:t xml:space="preserve">, 91 </w:t>
      </w:r>
      <w:r w:rsidRPr="00D6475C">
        <w:rPr>
          <w:i/>
          <w:lang w:val="es-ES"/>
        </w:rPr>
        <w:t>N.J.</w:t>
      </w:r>
      <w:r w:rsidRPr="00D6475C">
        <w:rPr>
          <w:lang w:val="es-ES"/>
        </w:rPr>
        <w:t xml:space="preserve"> 159, 174 (1982).</w:t>
      </w:r>
    </w:p>
    <w:p w14:paraId="4DEA3A42" w14:textId="77777777" w:rsidR="00942EA9" w:rsidRPr="00D6475C" w:rsidRDefault="00942EA9" w:rsidP="00942EA9">
      <w:pPr>
        <w:jc w:val="both"/>
        <w:rPr>
          <w:lang w:val="es-ES"/>
        </w:rPr>
      </w:pPr>
    </w:p>
  </w:footnote>
  <w:footnote w:id="18">
    <w:p w14:paraId="40B131B5" w14:textId="16DC067F" w:rsidR="001D7946" w:rsidRPr="00856611" w:rsidRDefault="001D7946" w:rsidP="00942EA9">
      <w:pPr>
        <w:jc w:val="both"/>
      </w:pPr>
      <w:r w:rsidRPr="00856611">
        <w:rPr>
          <w:rStyle w:val="FootnoteReference"/>
        </w:rPr>
        <w:footnoteRef/>
      </w:r>
      <w:r w:rsidRPr="00856611">
        <w:t xml:space="preserve">  Adapted from the Proximate Cause</w:t>
      </w:r>
      <w:r>
        <w:t xml:space="preserve"> Products Liability </w:t>
      </w:r>
      <w:r w:rsidR="007322B4">
        <w:t>c</w:t>
      </w:r>
      <w:r>
        <w:t>harge</w:t>
      </w:r>
      <w:r w:rsidR="00942EA9">
        <w:t>, MCJC</w:t>
      </w:r>
      <w:r>
        <w:t xml:space="preserve"> 5.40I</w:t>
      </w:r>
      <w:r w:rsidRPr="0085661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F144" w14:textId="77777777" w:rsidR="001B5F88" w:rsidRDefault="001B5F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AE70" w14:textId="77777777" w:rsidR="001D7946" w:rsidRDefault="001D7946" w:rsidP="00120077">
    <w:pPr>
      <w:pStyle w:val="Header"/>
      <w:jc w:val="right"/>
      <w:rPr>
        <w:b/>
        <w:sz w:val="28"/>
        <w:szCs w:val="28"/>
      </w:rPr>
    </w:pPr>
    <w:r w:rsidRPr="00120077">
      <w:rPr>
        <w:b/>
        <w:sz w:val="28"/>
        <w:szCs w:val="28"/>
      </w:rPr>
      <w:t xml:space="preserve">CHARGE 5.76 — Page </w:t>
    </w:r>
    <w:r w:rsidRPr="00120077">
      <w:rPr>
        <w:b/>
        <w:sz w:val="28"/>
        <w:szCs w:val="28"/>
      </w:rPr>
      <w:fldChar w:fldCharType="begin"/>
    </w:r>
    <w:r w:rsidRPr="00120077">
      <w:rPr>
        <w:b/>
        <w:sz w:val="28"/>
        <w:szCs w:val="28"/>
      </w:rPr>
      <w:instrText xml:space="preserve"> PAGE </w:instrText>
    </w:r>
    <w:r w:rsidRPr="00120077">
      <w:rPr>
        <w:b/>
        <w:sz w:val="28"/>
        <w:szCs w:val="28"/>
      </w:rPr>
      <w:fldChar w:fldCharType="separate"/>
    </w:r>
    <w:r>
      <w:rPr>
        <w:b/>
        <w:noProof/>
        <w:sz w:val="28"/>
        <w:szCs w:val="28"/>
      </w:rPr>
      <w:t>7</w:t>
    </w:r>
    <w:r w:rsidRPr="00120077">
      <w:rPr>
        <w:b/>
        <w:sz w:val="28"/>
        <w:szCs w:val="28"/>
      </w:rPr>
      <w:fldChar w:fldCharType="end"/>
    </w:r>
    <w:r w:rsidRPr="00120077">
      <w:rPr>
        <w:b/>
        <w:sz w:val="28"/>
        <w:szCs w:val="28"/>
      </w:rPr>
      <w:t xml:space="preserve"> of </w:t>
    </w:r>
    <w:r w:rsidRPr="00120077">
      <w:rPr>
        <w:b/>
        <w:sz w:val="28"/>
        <w:szCs w:val="28"/>
      </w:rPr>
      <w:fldChar w:fldCharType="begin"/>
    </w:r>
    <w:r w:rsidRPr="00120077">
      <w:rPr>
        <w:b/>
        <w:sz w:val="28"/>
        <w:szCs w:val="28"/>
      </w:rPr>
      <w:instrText xml:space="preserve"> NUMPAGES </w:instrText>
    </w:r>
    <w:r w:rsidRPr="00120077">
      <w:rPr>
        <w:b/>
        <w:sz w:val="28"/>
        <w:szCs w:val="28"/>
      </w:rPr>
      <w:fldChar w:fldCharType="separate"/>
    </w:r>
    <w:r>
      <w:rPr>
        <w:b/>
        <w:noProof/>
        <w:sz w:val="28"/>
        <w:szCs w:val="28"/>
      </w:rPr>
      <w:t>7</w:t>
    </w:r>
    <w:r w:rsidRPr="00120077">
      <w:rPr>
        <w:b/>
        <w:sz w:val="28"/>
        <w:szCs w:val="28"/>
      </w:rPr>
      <w:fldChar w:fldCharType="end"/>
    </w:r>
  </w:p>
  <w:p w14:paraId="561BF406" w14:textId="77777777" w:rsidR="001D7946" w:rsidRDefault="001D7946" w:rsidP="00120077">
    <w:pPr>
      <w:pStyle w:val="Header"/>
      <w:jc w:val="right"/>
      <w:rPr>
        <w:b/>
        <w:sz w:val="28"/>
        <w:szCs w:val="28"/>
      </w:rPr>
    </w:pPr>
  </w:p>
  <w:p w14:paraId="096D7542" w14:textId="77777777" w:rsidR="001D7946" w:rsidRPr="00120077" w:rsidRDefault="001D7946" w:rsidP="00120077">
    <w:pPr>
      <w:pStyle w:val="Header"/>
      <w:jc w:val="right"/>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620B" w14:textId="77777777" w:rsidR="001B5F88" w:rsidRDefault="001B5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26A6"/>
    <w:multiLevelType w:val="hybridMultilevel"/>
    <w:tmpl w:val="AAAC29A0"/>
    <w:lvl w:ilvl="0" w:tplc="526E9CA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96494F"/>
    <w:multiLevelType w:val="hybridMultilevel"/>
    <w:tmpl w:val="D94266CA"/>
    <w:lvl w:ilvl="0" w:tplc="F754D94C">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E550C91"/>
    <w:multiLevelType w:val="hybridMultilevel"/>
    <w:tmpl w:val="9DF2EC4E"/>
    <w:lvl w:ilvl="0" w:tplc="A37A2AA0">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788631">
    <w:abstractNumId w:val="2"/>
  </w:num>
  <w:num w:numId="2" w16cid:durableId="536508036">
    <w:abstractNumId w:val="1"/>
  </w:num>
  <w:num w:numId="3" w16cid:durableId="625626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Ver" w:val="01"/>
  </w:docVars>
  <w:rsids>
    <w:rsidRoot w:val="009D573E"/>
    <w:rsid w:val="00090FBC"/>
    <w:rsid w:val="00114086"/>
    <w:rsid w:val="00120077"/>
    <w:rsid w:val="0017189D"/>
    <w:rsid w:val="001943E7"/>
    <w:rsid w:val="001B5F88"/>
    <w:rsid w:val="001D7946"/>
    <w:rsid w:val="002756A4"/>
    <w:rsid w:val="00325502"/>
    <w:rsid w:val="003F5CDC"/>
    <w:rsid w:val="0058394F"/>
    <w:rsid w:val="00682694"/>
    <w:rsid w:val="006D690F"/>
    <w:rsid w:val="007322B4"/>
    <w:rsid w:val="00744CA3"/>
    <w:rsid w:val="00784614"/>
    <w:rsid w:val="007D1ADC"/>
    <w:rsid w:val="00856611"/>
    <w:rsid w:val="00876C23"/>
    <w:rsid w:val="009121AB"/>
    <w:rsid w:val="00942EA9"/>
    <w:rsid w:val="00971B19"/>
    <w:rsid w:val="009D573E"/>
    <w:rsid w:val="00A25E2C"/>
    <w:rsid w:val="00AF6D52"/>
    <w:rsid w:val="00B76624"/>
    <w:rsid w:val="00BE0428"/>
    <w:rsid w:val="00C0507B"/>
    <w:rsid w:val="00C3775E"/>
    <w:rsid w:val="00CC66DA"/>
    <w:rsid w:val="00D53314"/>
    <w:rsid w:val="00D6475C"/>
    <w:rsid w:val="00DF400A"/>
    <w:rsid w:val="00F1720F"/>
    <w:rsid w:val="00FD5C80"/>
    <w:rsid w:val="00FD6449"/>
    <w:rsid w:val="00FE5BC7"/>
    <w:rsid w:val="00FE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0564729"/>
  <w15:chartTrackingRefBased/>
  <w15:docId w15:val="{1ACE5844-6FC1-4609-B73A-23971451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refe">
    <w:name w:val="endnote refe"/>
    <w:rPr>
      <w:noProof/>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szCs w:val="20"/>
    </w:rPr>
  </w:style>
  <w:style w:type="paragraph" w:styleId="Header">
    <w:name w:val="header"/>
    <w:basedOn w:val="Normal"/>
    <w:rsid w:val="00120077"/>
    <w:pPr>
      <w:tabs>
        <w:tab w:val="center" w:pos="4320"/>
        <w:tab w:val="right" w:pos="8640"/>
      </w:tabs>
    </w:pPr>
  </w:style>
  <w:style w:type="paragraph" w:styleId="Footer">
    <w:name w:val="footer"/>
    <w:basedOn w:val="Normal"/>
    <w:rsid w:val="00120077"/>
    <w:pPr>
      <w:tabs>
        <w:tab w:val="center" w:pos="4320"/>
        <w:tab w:val="right" w:pos="8640"/>
      </w:tabs>
    </w:pPr>
  </w:style>
  <w:style w:type="paragraph" w:styleId="BalloonText">
    <w:name w:val="Balloon Text"/>
    <w:basedOn w:val="Normal"/>
    <w:semiHidden/>
    <w:rsid w:val="00856611"/>
    <w:rPr>
      <w:rFonts w:ascii="Tahoma" w:hAnsi="Tahoma" w:cs="Tahoma"/>
      <w:sz w:val="16"/>
      <w:szCs w:val="16"/>
    </w:rPr>
  </w:style>
  <w:style w:type="character" w:styleId="FollowedHyperlink">
    <w:name w:val="FollowedHyperlink"/>
    <w:basedOn w:val="DefaultParagraphFont"/>
    <w:rsid w:val="0017189D"/>
    <w:rPr>
      <w:color w:val="800080"/>
      <w:u w:val="single"/>
    </w:rPr>
  </w:style>
  <w:style w:type="paragraph" w:styleId="Revision">
    <w:name w:val="Revision"/>
    <w:hidden/>
    <w:uiPriority w:val="99"/>
    <w:semiHidden/>
    <w:rsid w:val="00FE5B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5040B-FD72-4A7C-BA14-6253EC36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Pages>
  <Words>936</Words>
  <Characters>4977</Characters>
  <Application>Microsoft Office Word</Application>
  <DocSecurity>0</DocSecurity>
  <PresentationFormat/>
  <Lines>41</Lines>
  <Paragraphs>11</Paragraphs>
  <ScaleCrop>false</ScaleCrop>
  <HeadingPairs>
    <vt:vector size="2" baseType="variant">
      <vt:variant>
        <vt:lpstr>Title</vt:lpstr>
      </vt:variant>
      <vt:variant>
        <vt:i4>1</vt:i4>
      </vt:variant>
    </vt:vector>
  </HeadingPairs>
  <TitlesOfParts>
    <vt:vector size="1" baseType="lpstr">
      <vt:lpstr>MCJC 5.76 (revised) (MB089785).DOCX</vt:lpstr>
    </vt:vector>
  </TitlesOfParts>
  <Company>State Of New Jersey - Judiciary</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MCJC 5.76 (revised) (MB089785).DOCX</dc:title>
  <dc:subject>99999/1</dc:subject>
  <dc:creator>Christopher S. Porrino</dc:creator>
  <cp:keywords>Tel   973 597 6314   Fax   973 597 6315</cp:keywords>
  <dc:description>cporrino</dc:description>
  <cp:lastModifiedBy>Kristi Robinson</cp:lastModifiedBy>
  <cp:revision>9</cp:revision>
  <cp:lastPrinted>2021-10-20T17:24:00Z</cp:lastPrinted>
  <dcterms:created xsi:type="dcterms:W3CDTF">2021-10-21T19:20:00Z</dcterms:created>
  <dcterms:modified xsi:type="dcterms:W3CDTF">2022-11-09T13:35:00Z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2154659</vt:lpwstr>
  </property>
  <property fmtid="{D5CDD505-2E9C-101B-9397-08002B2CF9AE}" pid="3" name="DocVer">
    <vt:lpwstr>01</vt:lpwstr>
  </property>
  <property fmtid="{D5CDD505-2E9C-101B-9397-08002B2CF9AE}" pid="4" name="LSAuthor">
    <vt:lpwstr>Christopher S. Porrino</vt:lpwstr>
  </property>
  <property fmtid="{D5CDD505-2E9C-101B-9397-08002B2CF9AE}" pid="5" name="LSTitle">
    <vt:lpwstr>Member of the Firm</vt:lpwstr>
  </property>
  <property fmtid="{D5CDD505-2E9C-101B-9397-08002B2CF9AE}" pid="6" name="LSPhone">
    <vt:lpwstr>973 597 6314</vt:lpwstr>
  </property>
  <property fmtid="{D5CDD505-2E9C-101B-9397-08002B2CF9AE}" pid="7" name="LSFax">
    <vt:lpwstr>973 597 6315</vt:lpwstr>
  </property>
  <property fmtid="{D5CDD505-2E9C-101B-9397-08002B2CF9AE}" pid="8" name="LSEmail">
    <vt:lpwstr>cporrino@lowenstein.com</vt:lpwstr>
  </property>
</Properties>
</file>