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E1BAB" w14:textId="77777777" w:rsidR="00176228" w:rsidRDefault="00C60236" w:rsidP="004D6B2E">
      <w:pPr>
        <w:tabs>
          <w:tab w:val="left" w:pos="-720"/>
          <w:tab w:val="left" w:pos="0"/>
        </w:tabs>
        <w:suppressAutoHyphens/>
        <w:ind w:left="1440" w:hanging="1440"/>
        <w:rPr>
          <w:rFonts w:ascii="Times New Roman" w:hAnsi="Times New Roman"/>
          <w:spacing w:val="-3"/>
        </w:rPr>
      </w:pPr>
      <w:bookmarkStart w:id="0" w:name="_GoBack"/>
      <w:bookmarkEnd w:id="0"/>
      <w:r>
        <w:rPr>
          <w:rFonts w:ascii="Times New Roman" w:hAnsi="Times New Roman"/>
          <w:b/>
          <w:spacing w:val="-3"/>
        </w:rPr>
        <w:t>6</w:t>
      </w:r>
      <w:r w:rsidR="00176228">
        <w:rPr>
          <w:rFonts w:ascii="Times New Roman" w:hAnsi="Times New Roman"/>
          <w:b/>
          <w:spacing w:val="-3"/>
        </w:rPr>
        <w:t>.10</w:t>
      </w:r>
      <w:r w:rsidR="00176228">
        <w:rPr>
          <w:rFonts w:ascii="Times New Roman" w:hAnsi="Times New Roman"/>
          <w:b/>
          <w:spacing w:val="-3"/>
        </w:rPr>
        <w:tab/>
        <w:t>PROXIMATE CAUSE — GENERAL CHARGE</w:t>
      </w:r>
      <w:r>
        <w:rPr>
          <w:rFonts w:ascii="Times New Roman" w:hAnsi="Times New Roman"/>
          <w:b/>
          <w:spacing w:val="-3"/>
        </w:rPr>
        <w:t xml:space="preserve"> </w:t>
      </w:r>
      <w:r w:rsidR="00176228">
        <w:rPr>
          <w:rFonts w:ascii="Times New Roman" w:hAnsi="Times New Roman"/>
          <w:spacing w:val="-3"/>
        </w:rPr>
        <w:t xml:space="preserve">(Approved </w:t>
      </w:r>
      <w:r w:rsidR="00057393">
        <w:rPr>
          <w:rFonts w:ascii="Times New Roman" w:hAnsi="Times New Roman"/>
          <w:spacing w:val="-3"/>
        </w:rPr>
        <w:t>0</w:t>
      </w:r>
      <w:r w:rsidR="00176228">
        <w:rPr>
          <w:rFonts w:ascii="Times New Roman" w:hAnsi="Times New Roman"/>
          <w:spacing w:val="-3"/>
        </w:rPr>
        <w:t>5/</w:t>
      </w:r>
      <w:r w:rsidR="00057393">
        <w:rPr>
          <w:rFonts w:ascii="Times New Roman" w:hAnsi="Times New Roman"/>
          <w:spacing w:val="-3"/>
        </w:rPr>
        <w:t>19</w:t>
      </w:r>
      <w:r w:rsidR="00176228">
        <w:rPr>
          <w:rFonts w:ascii="Times New Roman" w:hAnsi="Times New Roman"/>
          <w:spacing w:val="-3"/>
        </w:rPr>
        <w:t>98</w:t>
      </w:r>
      <w:r w:rsidR="00057393">
        <w:rPr>
          <w:rFonts w:ascii="Times New Roman" w:hAnsi="Times New Roman"/>
          <w:spacing w:val="-3"/>
        </w:rPr>
        <w:t xml:space="preserve">; Revised </w:t>
      </w:r>
      <w:r w:rsidR="00292A03">
        <w:rPr>
          <w:rFonts w:ascii="Times New Roman" w:hAnsi="Times New Roman"/>
          <w:spacing w:val="-3"/>
        </w:rPr>
        <w:t>11</w:t>
      </w:r>
      <w:r w:rsidR="0003467A">
        <w:rPr>
          <w:rFonts w:ascii="Times New Roman" w:hAnsi="Times New Roman"/>
          <w:spacing w:val="-3"/>
        </w:rPr>
        <w:t>/2019</w:t>
      </w:r>
      <w:r w:rsidR="00176228">
        <w:rPr>
          <w:rFonts w:ascii="Times New Roman" w:hAnsi="Times New Roman"/>
          <w:spacing w:val="-3"/>
        </w:rPr>
        <w:t>)</w:t>
      </w:r>
    </w:p>
    <w:p w14:paraId="12987399" w14:textId="77777777" w:rsidR="004D6B2E" w:rsidRDefault="004D6B2E" w:rsidP="004D6B2E">
      <w:pPr>
        <w:pStyle w:val="Heading1"/>
        <w:spacing w:after="0" w:line="240" w:lineRule="auto"/>
        <w:rPr>
          <w:rFonts w:ascii="Times New Roman Bold" w:hAnsi="Times New Roman Bold"/>
          <w:caps/>
          <w:szCs w:val="28"/>
        </w:rPr>
      </w:pPr>
    </w:p>
    <w:p w14:paraId="7D976D73" w14:textId="77777777" w:rsidR="00176228" w:rsidRDefault="00176228" w:rsidP="004D6B2E">
      <w:pPr>
        <w:pStyle w:val="Heading1"/>
        <w:spacing w:after="0" w:line="240" w:lineRule="auto"/>
        <w:rPr>
          <w:rFonts w:ascii="Times New Roman Bold" w:hAnsi="Times New Roman Bold"/>
          <w:caps/>
          <w:szCs w:val="28"/>
        </w:rPr>
      </w:pPr>
      <w:r w:rsidRPr="00645B70">
        <w:rPr>
          <w:rFonts w:ascii="Times New Roman Bold" w:hAnsi="Times New Roman Bold"/>
          <w:caps/>
          <w:szCs w:val="28"/>
        </w:rPr>
        <w:t>Note to Judge</w:t>
      </w:r>
    </w:p>
    <w:p w14:paraId="354ECFD0" w14:textId="77777777" w:rsidR="004D6B2E" w:rsidRPr="004D6B2E" w:rsidRDefault="004D6B2E" w:rsidP="004D6B2E"/>
    <w:p w14:paraId="2B871BEE" w14:textId="77777777" w:rsidR="00176228" w:rsidRDefault="00176228" w:rsidP="004D6B2E">
      <w:pPr>
        <w:tabs>
          <w:tab w:val="left" w:pos="-720"/>
          <w:tab w:val="left" w:pos="0"/>
        </w:tabs>
        <w:suppressAutoHyphens/>
        <w:ind w:left="720" w:right="720"/>
        <w:jc w:val="both"/>
        <w:rPr>
          <w:rFonts w:ascii="Times New Roman" w:hAnsi="Times New Roman"/>
          <w:spacing w:val="-3"/>
        </w:rPr>
      </w:pPr>
      <w:r>
        <w:rPr>
          <w:rFonts w:ascii="Times New Roman" w:hAnsi="Times New Roman"/>
          <w:spacing w:val="-3"/>
        </w:rPr>
        <w:t xml:space="preserve">The Committee has extensively reviewed the propriety of the prior charges on proximate cause (most of which were prepared before 1984) in light of two significant recent developments.  First, recent decisions of the Supreme Court and the Appellate Division question the use of particular language in certain types of negligence cases.  </w:t>
      </w:r>
      <w:r>
        <w:rPr>
          <w:rFonts w:ascii="Times New Roman" w:hAnsi="Times New Roman"/>
          <w:i/>
          <w:spacing w:val="-3"/>
        </w:rPr>
        <w:t xml:space="preserve">Conklin v. </w:t>
      </w:r>
      <w:proofErr w:type="spellStart"/>
      <w:r>
        <w:rPr>
          <w:rFonts w:ascii="Times New Roman" w:hAnsi="Times New Roman"/>
          <w:i/>
          <w:spacing w:val="-3"/>
        </w:rPr>
        <w:t>Hannoch</w:t>
      </w:r>
      <w:proofErr w:type="spellEnd"/>
      <w:r>
        <w:rPr>
          <w:rFonts w:ascii="Times New Roman" w:hAnsi="Times New Roman"/>
          <w:i/>
          <w:spacing w:val="-3"/>
        </w:rPr>
        <w:t xml:space="preserve"> Weisman,</w:t>
      </w:r>
      <w:r>
        <w:rPr>
          <w:rFonts w:ascii="Times New Roman" w:hAnsi="Times New Roman"/>
          <w:spacing w:val="-3"/>
        </w:rPr>
        <w:t xml:space="preserve"> 145 </w:t>
      </w:r>
      <w:r>
        <w:rPr>
          <w:rFonts w:ascii="Times New Roman" w:hAnsi="Times New Roman"/>
          <w:i/>
          <w:spacing w:val="-3"/>
        </w:rPr>
        <w:t>N.J.</w:t>
      </w:r>
      <w:r>
        <w:rPr>
          <w:rFonts w:ascii="Times New Roman" w:hAnsi="Times New Roman"/>
          <w:spacing w:val="-3"/>
        </w:rPr>
        <w:t xml:space="preserve"> 395, 417, 419 (1996); </w:t>
      </w:r>
      <w:r>
        <w:rPr>
          <w:rFonts w:ascii="Times New Roman" w:hAnsi="Times New Roman"/>
          <w:i/>
          <w:spacing w:val="-3"/>
        </w:rPr>
        <w:t>Camp v. Jiffy Lube #114,</w:t>
      </w:r>
      <w:r>
        <w:rPr>
          <w:rFonts w:ascii="Times New Roman" w:hAnsi="Times New Roman"/>
          <w:spacing w:val="-3"/>
        </w:rPr>
        <w:t xml:space="preserve"> 309 </w:t>
      </w:r>
      <w:r>
        <w:rPr>
          <w:rFonts w:ascii="Times New Roman" w:hAnsi="Times New Roman"/>
          <w:i/>
          <w:spacing w:val="-3"/>
        </w:rPr>
        <w:t>N.J. Super.</w:t>
      </w:r>
      <w:r>
        <w:rPr>
          <w:rFonts w:ascii="Times New Roman" w:hAnsi="Times New Roman"/>
          <w:spacing w:val="-3"/>
        </w:rPr>
        <w:t xml:space="preserve"> 305 (App. Div. 1998).  Those decisions also emphasize that proximate cause should be carefully defined for the jury and tailored to the facts of the particular case.  Second, recent research and literature on jurors’ comprehension of instructions uniformly indicates that jurors do not understand the technical language in most proximate cause charges.  (Some studies even indicate that jurors believe the charge instructs them to find the “approximate cause”).  </w:t>
      </w:r>
    </w:p>
    <w:p w14:paraId="79474A3B" w14:textId="77777777" w:rsidR="004D6B2E" w:rsidRDefault="004D6B2E" w:rsidP="004D6B2E">
      <w:pPr>
        <w:tabs>
          <w:tab w:val="left" w:pos="-720"/>
          <w:tab w:val="left" w:pos="0"/>
        </w:tabs>
        <w:suppressAutoHyphens/>
        <w:ind w:left="720" w:right="720"/>
        <w:jc w:val="both"/>
        <w:rPr>
          <w:rFonts w:ascii="Times New Roman" w:hAnsi="Times New Roman"/>
          <w:spacing w:val="-3"/>
        </w:rPr>
      </w:pPr>
    </w:p>
    <w:p w14:paraId="3EF7B24B" w14:textId="77777777" w:rsidR="00176228" w:rsidRDefault="00176228" w:rsidP="004D6B2E">
      <w:pPr>
        <w:tabs>
          <w:tab w:val="left" w:pos="-720"/>
          <w:tab w:val="left" w:pos="0"/>
        </w:tabs>
        <w:suppressAutoHyphens/>
        <w:ind w:left="720" w:right="720"/>
        <w:jc w:val="both"/>
        <w:rPr>
          <w:rFonts w:ascii="Times New Roman" w:hAnsi="Times New Roman"/>
          <w:spacing w:val="-3"/>
        </w:rPr>
      </w:pPr>
      <w:r>
        <w:rPr>
          <w:rFonts w:ascii="Times New Roman" w:hAnsi="Times New Roman"/>
          <w:spacing w:val="-3"/>
        </w:rPr>
        <w:t xml:space="preserve">Accordingly, to contribute to the jury’s understanding of the causation decision they must make in the most common proximate cause issues, the Committee has prepared the following charges.  The Committee would welcome any suggestions from judges and attorneys relating to modifications of these charges for greater clarity or other proximate cause “scenarios” that should be addressed.  </w:t>
      </w:r>
    </w:p>
    <w:p w14:paraId="3F7FC0A3" w14:textId="77777777" w:rsidR="004D6B2E" w:rsidRDefault="004D6B2E" w:rsidP="004D6B2E">
      <w:pPr>
        <w:tabs>
          <w:tab w:val="left" w:pos="-720"/>
          <w:tab w:val="left" w:pos="0"/>
        </w:tabs>
        <w:suppressAutoHyphens/>
        <w:ind w:left="720" w:right="720"/>
        <w:jc w:val="both"/>
        <w:rPr>
          <w:rFonts w:ascii="Times New Roman" w:hAnsi="Times New Roman"/>
          <w:spacing w:val="-3"/>
          <w:szCs w:val="28"/>
        </w:rPr>
      </w:pPr>
    </w:p>
    <w:p w14:paraId="230DFB71" w14:textId="640F2E5C" w:rsidR="004D6B2E" w:rsidRDefault="00290210" w:rsidP="004D6B2E">
      <w:pPr>
        <w:tabs>
          <w:tab w:val="left" w:pos="-720"/>
          <w:tab w:val="left" w:pos="0"/>
        </w:tabs>
        <w:suppressAutoHyphens/>
        <w:ind w:left="720" w:right="720"/>
        <w:jc w:val="both"/>
        <w:rPr>
          <w:rFonts w:ascii="Times New Roman" w:hAnsi="Times New Roman"/>
          <w:spacing w:val="-3"/>
          <w:szCs w:val="28"/>
        </w:rPr>
      </w:pPr>
      <w:r>
        <w:rPr>
          <w:rFonts w:ascii="Times New Roman" w:hAnsi="Times New Roman"/>
          <w:spacing w:val="-3"/>
          <w:szCs w:val="28"/>
        </w:rPr>
        <w:t xml:space="preserve">This </w:t>
      </w:r>
      <w:r w:rsidRPr="00351623">
        <w:rPr>
          <w:rFonts w:ascii="Times New Roman" w:hAnsi="Times New Roman"/>
          <w:spacing w:val="-3"/>
          <w:szCs w:val="28"/>
        </w:rPr>
        <w:t>charge was previously titled “</w:t>
      </w:r>
      <w:r w:rsidR="00351623" w:rsidRPr="00351623">
        <w:rPr>
          <w:rFonts w:ascii="Times New Roman" w:hAnsi="Times New Roman"/>
          <w:szCs w:val="28"/>
        </w:rPr>
        <w:t>Proximate Cause General Charge to be Given in All Cases</w:t>
      </w:r>
      <w:r w:rsidR="0010683F">
        <w:rPr>
          <w:rFonts w:ascii="Times New Roman" w:hAnsi="Times New Roman"/>
          <w:szCs w:val="28"/>
        </w:rPr>
        <w:t>.</w:t>
      </w:r>
      <w:r w:rsidRPr="00351623">
        <w:rPr>
          <w:rFonts w:ascii="Times New Roman" w:hAnsi="Times New Roman"/>
          <w:spacing w:val="-3"/>
          <w:szCs w:val="28"/>
        </w:rPr>
        <w:t>”</w:t>
      </w:r>
      <w:r w:rsidR="00CD404D">
        <w:rPr>
          <w:rFonts w:ascii="Times New Roman" w:hAnsi="Times New Roman"/>
          <w:spacing w:val="-3"/>
          <w:szCs w:val="28"/>
        </w:rPr>
        <w:t xml:space="preserve"> </w:t>
      </w:r>
      <w:r w:rsidRPr="00351623">
        <w:rPr>
          <w:rFonts w:ascii="Times New Roman" w:hAnsi="Times New Roman"/>
          <w:spacing w:val="-3"/>
          <w:szCs w:val="28"/>
        </w:rPr>
        <w:t xml:space="preserve"> In 2019, the title was changed to reflect that </w:t>
      </w:r>
      <w:r w:rsidR="0003467A" w:rsidRPr="00351623">
        <w:rPr>
          <w:rFonts w:ascii="Times New Roman" w:hAnsi="Times New Roman"/>
          <w:spacing w:val="-3"/>
          <w:szCs w:val="28"/>
        </w:rPr>
        <w:t xml:space="preserve">that this </w:t>
      </w:r>
      <w:r w:rsidR="0003467A" w:rsidRPr="00351623">
        <w:rPr>
          <w:rFonts w:ascii="Times New Roman" w:hAnsi="Times New Roman"/>
          <w:szCs w:val="28"/>
        </w:rPr>
        <w:t>charge is not applicable to every case.  Where appropriate, this charge may be tailored to a case’s particular</w:t>
      </w:r>
      <w:r w:rsidR="0003467A" w:rsidRPr="0003467A">
        <w:rPr>
          <w:rFonts w:ascii="Times New Roman" w:hAnsi="Times New Roman"/>
          <w:szCs w:val="28"/>
        </w:rPr>
        <w:t xml:space="preserve"> </w:t>
      </w:r>
      <w:r w:rsidR="000E6D90">
        <w:rPr>
          <w:rFonts w:ascii="Times New Roman" w:hAnsi="Times New Roman"/>
          <w:szCs w:val="28"/>
        </w:rPr>
        <w:t>facts</w:t>
      </w:r>
      <w:r w:rsidR="0003467A" w:rsidRPr="0003467A">
        <w:rPr>
          <w:rFonts w:ascii="Times New Roman" w:hAnsi="Times New Roman"/>
          <w:szCs w:val="28"/>
        </w:rPr>
        <w:t>.</w:t>
      </w:r>
    </w:p>
    <w:p w14:paraId="6A73E9CD" w14:textId="77777777" w:rsidR="004D6B2E" w:rsidRPr="004D6B2E" w:rsidRDefault="004D6B2E" w:rsidP="004D6B2E">
      <w:pPr>
        <w:tabs>
          <w:tab w:val="left" w:pos="-720"/>
          <w:tab w:val="left" w:pos="0"/>
        </w:tabs>
        <w:suppressAutoHyphens/>
        <w:ind w:left="720" w:right="720"/>
        <w:jc w:val="both"/>
        <w:rPr>
          <w:rFonts w:ascii="Times New Roman" w:hAnsi="Times New Roman"/>
          <w:spacing w:val="-3"/>
          <w:szCs w:val="28"/>
        </w:rPr>
      </w:pPr>
    </w:p>
    <w:p w14:paraId="7BDD4FCF" w14:textId="77777777" w:rsidR="00176228" w:rsidRDefault="004D6B2E" w:rsidP="004D6B2E">
      <w:pPr>
        <w:tabs>
          <w:tab w:val="left" w:pos="-720"/>
        </w:tabs>
        <w:suppressAutoHyphens/>
        <w:spacing w:line="480" w:lineRule="auto"/>
        <w:jc w:val="both"/>
        <w:rPr>
          <w:rFonts w:ascii="Times New Roman" w:hAnsi="Times New Roman"/>
          <w:spacing w:val="-3"/>
        </w:rPr>
      </w:pPr>
      <w:r>
        <w:rPr>
          <w:rFonts w:ascii="Times New Roman" w:hAnsi="Times New Roman"/>
          <w:spacing w:val="-3"/>
        </w:rPr>
        <w:tab/>
      </w:r>
      <w:r w:rsidR="00176228">
        <w:rPr>
          <w:rFonts w:ascii="Times New Roman" w:hAnsi="Times New Roman"/>
          <w:spacing w:val="-3"/>
        </w:rPr>
        <w:t xml:space="preserve">If you find that </w:t>
      </w:r>
      <w:r w:rsidR="0098467A" w:rsidRPr="0098467A">
        <w:rPr>
          <w:rFonts w:ascii="Times New Roman" w:hAnsi="Times New Roman"/>
          <w:spacing w:val="-3"/>
        </w:rPr>
        <w:t>[</w:t>
      </w:r>
      <w:r w:rsidR="00176228">
        <w:rPr>
          <w:rFonts w:ascii="Times New Roman" w:hAnsi="Times New Roman"/>
          <w:i/>
          <w:spacing w:val="-3"/>
        </w:rPr>
        <w:t>name o</w:t>
      </w:r>
      <w:r w:rsidR="00A07261">
        <w:rPr>
          <w:rFonts w:ascii="Times New Roman" w:hAnsi="Times New Roman"/>
          <w:i/>
          <w:spacing w:val="-3"/>
        </w:rPr>
        <w:t>f</w:t>
      </w:r>
      <w:r w:rsidR="00176228">
        <w:rPr>
          <w:rFonts w:ascii="Times New Roman" w:hAnsi="Times New Roman"/>
          <w:i/>
          <w:spacing w:val="-3"/>
        </w:rPr>
        <w:t xml:space="preserve"> defendant or other party</w:t>
      </w:r>
      <w:r w:rsidR="0098467A" w:rsidRPr="0098467A">
        <w:rPr>
          <w:rFonts w:ascii="Times New Roman" w:hAnsi="Times New Roman"/>
          <w:spacing w:val="-3"/>
        </w:rPr>
        <w:t>]</w:t>
      </w:r>
      <w:r w:rsidR="00176228">
        <w:rPr>
          <w:rFonts w:ascii="Times New Roman" w:hAnsi="Times New Roman"/>
          <w:spacing w:val="-3"/>
        </w:rPr>
        <w:t xml:space="preserve"> was negligent, you must find that </w:t>
      </w:r>
      <w:r w:rsidR="0098467A" w:rsidRPr="0098467A">
        <w:rPr>
          <w:rFonts w:ascii="Times New Roman" w:hAnsi="Times New Roman"/>
          <w:spacing w:val="-3"/>
        </w:rPr>
        <w:t>[</w:t>
      </w:r>
      <w:r w:rsidR="00176228">
        <w:rPr>
          <w:rFonts w:ascii="Times New Roman" w:hAnsi="Times New Roman"/>
          <w:i/>
          <w:spacing w:val="-3"/>
        </w:rPr>
        <w:t>name o</w:t>
      </w:r>
      <w:r w:rsidR="00A07261">
        <w:rPr>
          <w:rFonts w:ascii="Times New Roman" w:hAnsi="Times New Roman"/>
          <w:i/>
          <w:spacing w:val="-3"/>
        </w:rPr>
        <w:t>f</w:t>
      </w:r>
      <w:r w:rsidR="00176228">
        <w:rPr>
          <w:rFonts w:ascii="Times New Roman" w:hAnsi="Times New Roman"/>
          <w:i/>
          <w:spacing w:val="-3"/>
        </w:rPr>
        <w:t xml:space="preserve"> defendant or other party</w:t>
      </w:r>
      <w:r w:rsidR="0098467A" w:rsidRPr="0098467A">
        <w:rPr>
          <w:rFonts w:ascii="Times New Roman" w:hAnsi="Times New Roman"/>
          <w:spacing w:val="-3"/>
        </w:rPr>
        <w:t>]</w:t>
      </w:r>
      <w:r w:rsidR="00176228">
        <w:rPr>
          <w:rFonts w:ascii="Times New Roman" w:hAnsi="Times New Roman"/>
          <w:spacing w:val="-3"/>
        </w:rPr>
        <w:t xml:space="preserve"> negligence was a proximate cause of the accident/incident/event before you can find that </w:t>
      </w:r>
      <w:r w:rsidR="0098467A" w:rsidRPr="0098467A">
        <w:rPr>
          <w:rFonts w:ascii="Times New Roman" w:hAnsi="Times New Roman"/>
          <w:spacing w:val="-3"/>
        </w:rPr>
        <w:t>[</w:t>
      </w:r>
      <w:r w:rsidR="00176228">
        <w:rPr>
          <w:rFonts w:ascii="Times New Roman" w:hAnsi="Times New Roman"/>
          <w:i/>
          <w:spacing w:val="-3"/>
        </w:rPr>
        <w:t>name o</w:t>
      </w:r>
      <w:r w:rsidR="00A07261">
        <w:rPr>
          <w:rFonts w:ascii="Times New Roman" w:hAnsi="Times New Roman"/>
          <w:i/>
          <w:spacing w:val="-3"/>
        </w:rPr>
        <w:t>f</w:t>
      </w:r>
      <w:r w:rsidR="00176228">
        <w:rPr>
          <w:rFonts w:ascii="Times New Roman" w:hAnsi="Times New Roman"/>
          <w:i/>
          <w:spacing w:val="-3"/>
        </w:rPr>
        <w:t xml:space="preserve"> defendant or other </w:t>
      </w:r>
      <w:r w:rsidR="00176228">
        <w:rPr>
          <w:rFonts w:ascii="Times New Roman" w:hAnsi="Times New Roman"/>
          <w:i/>
          <w:spacing w:val="-3"/>
        </w:rPr>
        <w:lastRenderedPageBreak/>
        <w:t>party</w:t>
      </w:r>
      <w:r w:rsidR="0098467A" w:rsidRPr="0098467A">
        <w:rPr>
          <w:rFonts w:ascii="Times New Roman" w:hAnsi="Times New Roman"/>
          <w:spacing w:val="-3"/>
        </w:rPr>
        <w:t>]</w:t>
      </w:r>
      <w:r w:rsidR="00176228">
        <w:rPr>
          <w:rFonts w:ascii="Times New Roman" w:hAnsi="Times New Roman"/>
          <w:spacing w:val="-3"/>
        </w:rPr>
        <w:t xml:space="preserve"> was responsible for </w:t>
      </w:r>
      <w:r w:rsidR="0098467A" w:rsidRPr="0098467A">
        <w:rPr>
          <w:rFonts w:ascii="Times New Roman" w:hAnsi="Times New Roman"/>
          <w:spacing w:val="-3"/>
        </w:rPr>
        <w:t>[</w:t>
      </w:r>
      <w:r w:rsidR="00176228">
        <w:rPr>
          <w:rFonts w:ascii="Times New Roman" w:hAnsi="Times New Roman"/>
          <w:i/>
          <w:spacing w:val="-3"/>
        </w:rPr>
        <w:t>name o</w:t>
      </w:r>
      <w:r w:rsidR="00A07261">
        <w:rPr>
          <w:rFonts w:ascii="Times New Roman" w:hAnsi="Times New Roman"/>
          <w:i/>
          <w:spacing w:val="-3"/>
        </w:rPr>
        <w:t>f</w:t>
      </w:r>
      <w:r w:rsidR="00176228">
        <w:rPr>
          <w:rFonts w:ascii="Times New Roman" w:hAnsi="Times New Roman"/>
          <w:i/>
          <w:spacing w:val="-3"/>
        </w:rPr>
        <w:t xml:space="preserve"> plaintiff or other party</w:t>
      </w:r>
      <w:r w:rsidR="0098467A" w:rsidRPr="0098467A">
        <w:rPr>
          <w:rFonts w:ascii="Times New Roman" w:hAnsi="Times New Roman"/>
          <w:spacing w:val="-3"/>
        </w:rPr>
        <w:t>]</w:t>
      </w:r>
      <w:r w:rsidR="005875D3">
        <w:rPr>
          <w:rFonts w:ascii="Times New Roman" w:hAnsi="Times New Roman"/>
          <w:i/>
          <w:spacing w:val="-3"/>
        </w:rPr>
        <w:t>’s</w:t>
      </w:r>
      <w:r w:rsidR="00176228">
        <w:rPr>
          <w:rFonts w:ascii="Times New Roman" w:hAnsi="Times New Roman"/>
          <w:spacing w:val="-3"/>
        </w:rPr>
        <w:t xml:space="preserve"> claimed injury/loss/harm.  It is the duty of </w:t>
      </w:r>
      <w:r w:rsidR="0098467A" w:rsidRPr="0098467A">
        <w:rPr>
          <w:rFonts w:ascii="Times New Roman" w:hAnsi="Times New Roman"/>
          <w:spacing w:val="-3"/>
        </w:rPr>
        <w:t>[</w:t>
      </w:r>
      <w:r w:rsidR="00176228">
        <w:rPr>
          <w:rFonts w:ascii="Times New Roman" w:hAnsi="Times New Roman"/>
          <w:i/>
          <w:spacing w:val="-3"/>
        </w:rPr>
        <w:t>name of plaintiff</w:t>
      </w:r>
      <w:r w:rsidR="00463CB9">
        <w:rPr>
          <w:rFonts w:ascii="Times New Roman" w:hAnsi="Times New Roman"/>
          <w:i/>
          <w:spacing w:val="-3"/>
        </w:rPr>
        <w:t xml:space="preserve"> or other party</w:t>
      </w:r>
      <w:r w:rsidR="0098467A" w:rsidRPr="0098467A">
        <w:rPr>
          <w:rFonts w:ascii="Times New Roman" w:hAnsi="Times New Roman"/>
          <w:spacing w:val="-3"/>
        </w:rPr>
        <w:t>]</w:t>
      </w:r>
      <w:r w:rsidR="00176228">
        <w:rPr>
          <w:rFonts w:ascii="Times New Roman" w:hAnsi="Times New Roman"/>
          <w:spacing w:val="-3"/>
        </w:rPr>
        <w:t xml:space="preserve"> to establish, by the preponderance of evidence, that the negligence of </w:t>
      </w:r>
      <w:r w:rsidR="0098467A" w:rsidRPr="0098467A">
        <w:rPr>
          <w:rFonts w:ascii="Times New Roman" w:hAnsi="Times New Roman"/>
          <w:spacing w:val="-3"/>
        </w:rPr>
        <w:t>[</w:t>
      </w:r>
      <w:r w:rsidR="00176228">
        <w:rPr>
          <w:rFonts w:ascii="Times New Roman" w:hAnsi="Times New Roman"/>
          <w:i/>
          <w:spacing w:val="-3"/>
        </w:rPr>
        <w:t>name of defendant or other party</w:t>
      </w:r>
      <w:r w:rsidR="0098467A" w:rsidRPr="0098467A">
        <w:rPr>
          <w:rFonts w:ascii="Times New Roman" w:hAnsi="Times New Roman"/>
          <w:spacing w:val="-3"/>
        </w:rPr>
        <w:t>]</w:t>
      </w:r>
      <w:r w:rsidR="00176228">
        <w:rPr>
          <w:rFonts w:ascii="Times New Roman" w:hAnsi="Times New Roman"/>
          <w:spacing w:val="-3"/>
        </w:rPr>
        <w:t xml:space="preserve"> was a proximate cause of the accident/incident/event and of the injury/loss/harm allegedly to have resulted from </w:t>
      </w:r>
      <w:r w:rsidR="0098467A" w:rsidRPr="0098467A">
        <w:rPr>
          <w:rFonts w:ascii="Times New Roman" w:hAnsi="Times New Roman"/>
          <w:spacing w:val="-3"/>
        </w:rPr>
        <w:t>[</w:t>
      </w:r>
      <w:r w:rsidR="00176228">
        <w:rPr>
          <w:rFonts w:ascii="Times New Roman" w:hAnsi="Times New Roman"/>
          <w:i/>
          <w:spacing w:val="-3"/>
        </w:rPr>
        <w:t>name of defendant or other party</w:t>
      </w:r>
      <w:r w:rsidR="0098467A" w:rsidRPr="0098467A">
        <w:rPr>
          <w:rFonts w:ascii="Times New Roman" w:hAnsi="Times New Roman"/>
          <w:spacing w:val="-3"/>
        </w:rPr>
        <w:t>]</w:t>
      </w:r>
      <w:r w:rsidR="00176228">
        <w:rPr>
          <w:rFonts w:ascii="Times New Roman" w:hAnsi="Times New Roman"/>
          <w:spacing w:val="-3"/>
        </w:rPr>
        <w:t xml:space="preserve"> negligence. </w:t>
      </w:r>
    </w:p>
    <w:p w14:paraId="744BBF71" w14:textId="77777777" w:rsidR="00176228" w:rsidRDefault="00176228" w:rsidP="004D6B2E">
      <w:pPr>
        <w:tabs>
          <w:tab w:val="left" w:pos="-720"/>
        </w:tabs>
        <w:suppressAutoHyphens/>
        <w:spacing w:line="480" w:lineRule="auto"/>
        <w:jc w:val="both"/>
        <w:rPr>
          <w:rFonts w:ascii="Times New Roman" w:hAnsi="Times New Roman"/>
          <w:spacing w:val="-3"/>
        </w:rPr>
      </w:pPr>
      <w:r>
        <w:rPr>
          <w:rFonts w:ascii="Times New Roman" w:hAnsi="Times New Roman"/>
          <w:spacing w:val="-3"/>
        </w:rPr>
        <w:tab/>
        <w:t xml:space="preserve">The basic question for you to resolve is whether </w:t>
      </w:r>
      <w:r w:rsidR="0098467A" w:rsidRPr="0098467A">
        <w:rPr>
          <w:rFonts w:ascii="Times New Roman" w:hAnsi="Times New Roman"/>
          <w:spacing w:val="-3"/>
        </w:rPr>
        <w:t>[</w:t>
      </w:r>
      <w:r>
        <w:rPr>
          <w:rFonts w:ascii="Times New Roman" w:hAnsi="Times New Roman"/>
          <w:i/>
          <w:spacing w:val="-3"/>
        </w:rPr>
        <w:t>name of plaintiff or other party</w:t>
      </w:r>
      <w:r w:rsidR="0098467A" w:rsidRPr="0098467A">
        <w:rPr>
          <w:rFonts w:ascii="Times New Roman" w:hAnsi="Times New Roman"/>
          <w:spacing w:val="-3"/>
        </w:rPr>
        <w:t>]</w:t>
      </w:r>
      <w:r>
        <w:rPr>
          <w:rFonts w:ascii="Times New Roman" w:hAnsi="Times New Roman"/>
          <w:i/>
          <w:spacing w:val="-3"/>
        </w:rPr>
        <w:t>’s</w:t>
      </w:r>
      <w:r>
        <w:rPr>
          <w:rFonts w:ascii="Times New Roman" w:hAnsi="Times New Roman"/>
          <w:spacing w:val="-3"/>
        </w:rPr>
        <w:t xml:space="preserve"> injury/loss/harm is so connected with the negligent actions or inactions of </w:t>
      </w:r>
      <w:r w:rsidR="0098467A" w:rsidRPr="0098467A">
        <w:rPr>
          <w:rFonts w:ascii="Times New Roman" w:hAnsi="Times New Roman"/>
          <w:spacing w:val="-3"/>
        </w:rPr>
        <w:t>[</w:t>
      </w:r>
      <w:r>
        <w:rPr>
          <w:rFonts w:ascii="Times New Roman" w:hAnsi="Times New Roman"/>
          <w:i/>
          <w:spacing w:val="-3"/>
        </w:rPr>
        <w:t>name o</w:t>
      </w:r>
      <w:r w:rsidR="00A07261">
        <w:rPr>
          <w:rFonts w:ascii="Times New Roman" w:hAnsi="Times New Roman"/>
          <w:i/>
          <w:spacing w:val="-3"/>
        </w:rPr>
        <w:t>f</w:t>
      </w:r>
      <w:r>
        <w:rPr>
          <w:rFonts w:ascii="Times New Roman" w:hAnsi="Times New Roman"/>
          <w:i/>
          <w:spacing w:val="-3"/>
        </w:rPr>
        <w:t xml:space="preserve"> defendant or other party</w:t>
      </w:r>
      <w:r w:rsidR="0098467A" w:rsidRPr="0098467A">
        <w:rPr>
          <w:rFonts w:ascii="Times New Roman" w:hAnsi="Times New Roman"/>
          <w:spacing w:val="-3"/>
        </w:rPr>
        <w:t>]</w:t>
      </w:r>
      <w:r>
        <w:rPr>
          <w:rFonts w:ascii="Times New Roman" w:hAnsi="Times New Roman"/>
          <w:spacing w:val="-3"/>
        </w:rPr>
        <w:t xml:space="preserve"> that you decide it is reasonable, in accordance with the instructions I will now give you, that </w:t>
      </w:r>
      <w:r w:rsidR="0098467A" w:rsidRPr="0098467A">
        <w:rPr>
          <w:rFonts w:ascii="Times New Roman" w:hAnsi="Times New Roman"/>
          <w:spacing w:val="-3"/>
        </w:rPr>
        <w:t>[</w:t>
      </w:r>
      <w:r>
        <w:rPr>
          <w:rFonts w:ascii="Times New Roman" w:hAnsi="Times New Roman"/>
          <w:i/>
          <w:spacing w:val="-3"/>
        </w:rPr>
        <w:t>name of defendant or other party</w:t>
      </w:r>
      <w:r w:rsidR="0098467A" w:rsidRPr="0098467A">
        <w:rPr>
          <w:rFonts w:ascii="Times New Roman" w:hAnsi="Times New Roman"/>
          <w:spacing w:val="-3"/>
        </w:rPr>
        <w:t>]</w:t>
      </w:r>
      <w:r>
        <w:rPr>
          <w:rFonts w:ascii="Times New Roman" w:hAnsi="Times New Roman"/>
          <w:spacing w:val="-3"/>
        </w:rPr>
        <w:t xml:space="preserve"> should be held wholly or partially</w:t>
      </w:r>
      <w:r>
        <w:rPr>
          <w:rStyle w:val="FootnoteReference"/>
          <w:rFonts w:ascii="Times New Roman" w:hAnsi="Times New Roman"/>
          <w:spacing w:val="-3"/>
        </w:rPr>
        <w:footnoteReference w:id="1"/>
      </w:r>
      <w:r>
        <w:rPr>
          <w:rFonts w:ascii="Times New Roman" w:hAnsi="Times New Roman"/>
          <w:spacing w:val="-3"/>
        </w:rPr>
        <w:t xml:space="preserve"> responsible for the injury/loss/harm.</w:t>
      </w:r>
    </w:p>
    <w:sectPr w:rsidR="00176228">
      <w:headerReference w:type="even" r:id="rId7"/>
      <w:headerReference w:type="default" r:id="rId8"/>
      <w:footerReference w:type="even" r:id="rId9"/>
      <w:endnotePr>
        <w:numFmt w:val="decimal"/>
      </w:endnotePr>
      <w:pgSz w:w="12240" w:h="15840" w:code="1"/>
      <w:pgMar w:top="1008" w:right="1440" w:bottom="1440" w:left="1440" w:header="1440" w:footer="1440" w:gutter="288"/>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D0923" w14:textId="77777777" w:rsidR="009B3116" w:rsidRDefault="009B3116">
      <w:pPr>
        <w:widowControl/>
        <w:spacing w:line="20" w:lineRule="exact"/>
        <w:rPr>
          <w:sz w:val="24"/>
        </w:rPr>
      </w:pPr>
    </w:p>
  </w:endnote>
  <w:endnote w:type="continuationSeparator" w:id="0">
    <w:p w14:paraId="47CA98B0" w14:textId="77777777" w:rsidR="009B3116" w:rsidRDefault="009B3116">
      <w:r>
        <w:rPr>
          <w:sz w:val="24"/>
        </w:rPr>
        <w:t xml:space="preserve"> </w:t>
      </w:r>
    </w:p>
  </w:endnote>
  <w:endnote w:type="continuationNotice" w:id="1">
    <w:p w14:paraId="23632E61" w14:textId="77777777" w:rsidR="009B3116" w:rsidRDefault="009B311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emp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CCE95" w14:textId="77777777" w:rsidR="008D44A9" w:rsidRDefault="008D44A9">
    <w:pPr>
      <w:pStyle w:val="Footer"/>
      <w:rPr>
        <w:rFonts w:ascii="Times New Roman" w:hAnsi="Times New Roman"/>
        <w:b/>
        <w:sz w:val="24"/>
      </w:rPr>
    </w:pPr>
    <w:r>
      <w:rPr>
        <w:rStyle w:val="PageNumber"/>
        <w:rFonts w:ascii="Times New Roman" w:hAnsi="Times New Roman"/>
        <w:b/>
        <w:sz w:val="24"/>
      </w:rPr>
      <w:t>7.10-</w:t>
    </w:r>
    <w:r>
      <w:rPr>
        <w:rStyle w:val="PageNumber"/>
        <w:rFonts w:ascii="Times New Roman" w:hAnsi="Times New Roman"/>
        <w:b/>
        <w:sz w:val="24"/>
      </w:rPr>
      <w:fldChar w:fldCharType="begin"/>
    </w:r>
    <w:r>
      <w:rPr>
        <w:rStyle w:val="PageNumber"/>
        <w:rFonts w:ascii="Times New Roman" w:hAnsi="Times New Roman"/>
        <w:b/>
        <w:sz w:val="24"/>
      </w:rPr>
      <w:instrText xml:space="preserve"> PAGE </w:instrText>
    </w:r>
    <w:r>
      <w:rPr>
        <w:rStyle w:val="PageNumber"/>
        <w:rFonts w:ascii="Times New Roman" w:hAnsi="Times New Roman"/>
        <w:b/>
        <w:sz w:val="24"/>
      </w:rPr>
      <w:fldChar w:fldCharType="separate"/>
    </w:r>
    <w:r>
      <w:rPr>
        <w:rStyle w:val="PageNumber"/>
        <w:rFonts w:ascii="Times New Roman" w:hAnsi="Times New Roman"/>
        <w:b/>
        <w:noProof/>
        <w:sz w:val="24"/>
      </w:rPr>
      <w:t>2</w:t>
    </w:r>
    <w:r>
      <w:rPr>
        <w:rStyle w:val="PageNumber"/>
        <w:rFonts w:ascii="Times New Roman" w:hAnsi="Times New Roman"/>
        <w:b/>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C4D03" w14:textId="77777777" w:rsidR="009B3116" w:rsidRDefault="009B3116">
      <w:r>
        <w:rPr>
          <w:sz w:val="24"/>
        </w:rPr>
        <w:separator/>
      </w:r>
    </w:p>
  </w:footnote>
  <w:footnote w:type="continuationSeparator" w:id="0">
    <w:p w14:paraId="38EC0A6F" w14:textId="77777777" w:rsidR="009B3116" w:rsidRDefault="009B3116">
      <w:r>
        <w:continuationSeparator/>
      </w:r>
    </w:p>
  </w:footnote>
  <w:footnote w:id="1">
    <w:p w14:paraId="576C2339" w14:textId="77777777" w:rsidR="008D44A9" w:rsidRDefault="008D44A9">
      <w:pPr>
        <w:pStyle w:val="FootnoteText"/>
        <w:tabs>
          <w:tab w:val="left" w:pos="-720"/>
        </w:tabs>
        <w:suppressAutoHyphens/>
        <w:jc w:val="both"/>
        <w:rPr>
          <w:rFonts w:ascii="Times New Roman" w:hAnsi="Times New Roman"/>
          <w:spacing w:val="-3"/>
        </w:rPr>
      </w:pPr>
      <w:r>
        <w:rPr>
          <w:rStyle w:val="FootnoteReference"/>
          <w:rFonts w:ascii="Times New Roman" w:hAnsi="Times New Roman"/>
          <w:spacing w:val="-3"/>
        </w:rPr>
        <w:footnoteRef/>
      </w:r>
      <w:r w:rsidR="00F440B2">
        <w:rPr>
          <w:rFonts w:ascii="Times New Roman" w:hAnsi="Times New Roman"/>
          <w:spacing w:val="-3"/>
        </w:rPr>
        <w:t xml:space="preserve">  </w:t>
      </w:r>
      <w:r>
        <w:rPr>
          <w:rFonts w:ascii="Times New Roman" w:hAnsi="Times New Roman"/>
          <w:spacing w:val="-3"/>
        </w:rPr>
        <w:t>Omit “wholly or partially” where neither comparative fault (</w:t>
      </w:r>
      <w:r>
        <w:rPr>
          <w:rFonts w:ascii="Times New Roman" w:hAnsi="Times New Roman"/>
          <w:i/>
          <w:spacing w:val="-3"/>
        </w:rPr>
        <w:t>N.J.S.A.</w:t>
      </w:r>
      <w:r>
        <w:rPr>
          <w:rFonts w:ascii="Times New Roman" w:hAnsi="Times New Roman"/>
          <w:spacing w:val="-3"/>
        </w:rPr>
        <w:t xml:space="preserve"> 2A:15-5.1, </w:t>
      </w:r>
      <w:r>
        <w:rPr>
          <w:rFonts w:ascii="Times New Roman" w:hAnsi="Times New Roman"/>
          <w:i/>
          <w:spacing w:val="-3"/>
        </w:rPr>
        <w:t>et seq.</w:t>
      </w:r>
      <w:r>
        <w:rPr>
          <w:rFonts w:ascii="Times New Roman" w:hAnsi="Times New Roman"/>
          <w:spacing w:val="-3"/>
        </w:rPr>
        <w:t xml:space="preserve">) nor apportionment of causal factors is involved in the case, </w:t>
      </w:r>
      <w:r>
        <w:rPr>
          <w:rFonts w:ascii="Times New Roman" w:hAnsi="Times New Roman"/>
          <w:i/>
          <w:spacing w:val="-3"/>
        </w:rPr>
        <w:t xml:space="preserve">e.g., </w:t>
      </w:r>
      <w:proofErr w:type="spellStart"/>
      <w:r>
        <w:rPr>
          <w:rFonts w:ascii="Times New Roman" w:hAnsi="Times New Roman"/>
          <w:i/>
          <w:spacing w:val="-3"/>
        </w:rPr>
        <w:t>Dafler</w:t>
      </w:r>
      <w:proofErr w:type="spellEnd"/>
      <w:r>
        <w:rPr>
          <w:rFonts w:ascii="Times New Roman" w:hAnsi="Times New Roman"/>
          <w:i/>
          <w:spacing w:val="-3"/>
        </w:rPr>
        <w:t xml:space="preserve"> v. </w:t>
      </w:r>
      <w:proofErr w:type="spellStart"/>
      <w:r>
        <w:rPr>
          <w:rFonts w:ascii="Times New Roman" w:hAnsi="Times New Roman"/>
          <w:i/>
          <w:spacing w:val="-3"/>
        </w:rPr>
        <w:t>Raymark</w:t>
      </w:r>
      <w:proofErr w:type="spellEnd"/>
      <w:r>
        <w:rPr>
          <w:rFonts w:ascii="Times New Roman" w:hAnsi="Times New Roman"/>
          <w:i/>
          <w:spacing w:val="-3"/>
        </w:rPr>
        <w:t xml:space="preserve"> Industries,</w:t>
      </w:r>
      <w:r>
        <w:rPr>
          <w:rFonts w:ascii="Times New Roman" w:hAnsi="Times New Roman"/>
          <w:spacing w:val="-3"/>
        </w:rPr>
        <w:t xml:space="preserve"> 132 </w:t>
      </w:r>
      <w:r>
        <w:rPr>
          <w:rFonts w:ascii="Times New Roman" w:hAnsi="Times New Roman"/>
          <w:i/>
          <w:spacing w:val="-3"/>
        </w:rPr>
        <w:t>N.J.</w:t>
      </w:r>
      <w:r>
        <w:rPr>
          <w:rFonts w:ascii="Times New Roman" w:hAnsi="Times New Roman"/>
          <w:spacing w:val="-3"/>
        </w:rPr>
        <w:t xml:space="preserve"> 96 (1992).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E308B" w14:textId="77777777" w:rsidR="008D44A9" w:rsidRDefault="008D44A9">
    <w:pPr>
      <w:pStyle w:val="Header"/>
      <w:rPr>
        <w:rFonts w:ascii="Times New Roman" w:hAnsi="Times New Roman"/>
        <w:b/>
        <w:smallCaps/>
        <w:spacing w:val="-3"/>
        <w:sz w:val="24"/>
      </w:rPr>
    </w:pPr>
    <w:r>
      <w:rPr>
        <w:rFonts w:ascii="Times New Roman" w:hAnsi="Times New Roman"/>
        <w:b/>
        <w:smallCaps/>
        <w:spacing w:val="-3"/>
        <w:sz w:val="24"/>
      </w:rPr>
      <w:t>Charge 7.10</w:t>
    </w:r>
  </w:p>
  <w:p w14:paraId="6AB9168A" w14:textId="77777777" w:rsidR="008D44A9" w:rsidRDefault="008D44A9">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1D7C5" w14:textId="77777777" w:rsidR="008D44A9" w:rsidRPr="00857143" w:rsidRDefault="008D44A9">
    <w:pPr>
      <w:suppressAutoHyphens/>
      <w:jc w:val="right"/>
      <w:rPr>
        <w:rFonts w:ascii="Times New Roman Bold" w:hAnsi="Times New Roman Bold"/>
        <w:b/>
        <w:spacing w:val="-3"/>
        <w:szCs w:val="28"/>
      </w:rPr>
    </w:pPr>
    <w:r>
      <w:rPr>
        <w:rFonts w:ascii="Times New Roman" w:hAnsi="Times New Roman"/>
        <w:b/>
        <w:smallCaps/>
        <w:spacing w:val="-3"/>
        <w:sz w:val="24"/>
      </w:rPr>
      <w:tab/>
    </w:r>
    <w:r w:rsidRPr="00857143">
      <w:rPr>
        <w:rFonts w:ascii="Times New Roman Bold" w:hAnsi="Times New Roman Bold"/>
        <w:b/>
        <w:caps/>
        <w:spacing w:val="-3"/>
        <w:szCs w:val="28"/>
      </w:rPr>
      <w:t>Charge</w:t>
    </w:r>
    <w:r w:rsidR="00C60236">
      <w:rPr>
        <w:rFonts w:ascii="Times New Roman Bold" w:hAnsi="Times New Roman Bold"/>
        <w:b/>
        <w:spacing w:val="-3"/>
        <w:szCs w:val="28"/>
      </w:rPr>
      <w:t xml:space="preserve"> 6</w:t>
    </w:r>
    <w:r w:rsidRPr="00857143">
      <w:rPr>
        <w:rFonts w:ascii="Times New Roman Bold" w:hAnsi="Times New Roman Bold"/>
        <w:b/>
        <w:spacing w:val="-3"/>
        <w:szCs w:val="28"/>
      </w:rPr>
      <w:t xml:space="preserve">.10 </w:t>
    </w:r>
    <w:r>
      <w:rPr>
        <w:rFonts w:ascii="Times New Roman Bold" w:hAnsi="Times New Roman Bold" w:hint="eastAsia"/>
        <w:b/>
        <w:spacing w:val="-3"/>
        <w:szCs w:val="28"/>
      </w:rPr>
      <w:t>—</w:t>
    </w:r>
    <w:r w:rsidRPr="00857143">
      <w:rPr>
        <w:rFonts w:ascii="Times New Roman Bold" w:hAnsi="Times New Roman Bold"/>
        <w:b/>
        <w:spacing w:val="-3"/>
        <w:szCs w:val="28"/>
      </w:rPr>
      <w:t xml:space="preserve"> Page </w:t>
    </w:r>
    <w:r w:rsidRPr="00857143">
      <w:rPr>
        <w:rFonts w:ascii="Times New Roman Bold" w:hAnsi="Times New Roman Bold"/>
        <w:b/>
        <w:spacing w:val="-3"/>
        <w:szCs w:val="28"/>
      </w:rPr>
      <w:fldChar w:fldCharType="begin"/>
    </w:r>
    <w:r w:rsidRPr="00857143">
      <w:rPr>
        <w:rFonts w:ascii="Times New Roman Bold" w:hAnsi="Times New Roman Bold"/>
        <w:b/>
        <w:spacing w:val="-3"/>
        <w:szCs w:val="28"/>
      </w:rPr>
      <w:instrText xml:space="preserve"> PAGE </w:instrText>
    </w:r>
    <w:r w:rsidRPr="00857143">
      <w:rPr>
        <w:rFonts w:ascii="Times New Roman Bold" w:hAnsi="Times New Roman Bold"/>
        <w:b/>
        <w:spacing w:val="-3"/>
        <w:szCs w:val="28"/>
      </w:rPr>
      <w:fldChar w:fldCharType="separate"/>
    </w:r>
    <w:r w:rsidR="00CD404D">
      <w:rPr>
        <w:rFonts w:ascii="Times New Roman Bold" w:hAnsi="Times New Roman Bold"/>
        <w:b/>
        <w:noProof/>
        <w:spacing w:val="-3"/>
        <w:szCs w:val="28"/>
      </w:rPr>
      <w:t>1</w:t>
    </w:r>
    <w:r w:rsidRPr="00857143">
      <w:rPr>
        <w:rFonts w:ascii="Times New Roman Bold" w:hAnsi="Times New Roman Bold"/>
        <w:b/>
        <w:spacing w:val="-3"/>
        <w:szCs w:val="28"/>
      </w:rPr>
      <w:fldChar w:fldCharType="end"/>
    </w:r>
    <w:r w:rsidRPr="00857143">
      <w:rPr>
        <w:rFonts w:ascii="Times New Roman Bold" w:hAnsi="Times New Roman Bold"/>
        <w:b/>
        <w:spacing w:val="-3"/>
        <w:szCs w:val="28"/>
      </w:rPr>
      <w:t xml:space="preserve"> of </w:t>
    </w:r>
    <w:r w:rsidRPr="00857143">
      <w:rPr>
        <w:rFonts w:ascii="Times New Roman Bold" w:hAnsi="Times New Roman Bold"/>
        <w:b/>
        <w:spacing w:val="-3"/>
        <w:szCs w:val="28"/>
      </w:rPr>
      <w:fldChar w:fldCharType="begin"/>
    </w:r>
    <w:r w:rsidRPr="00857143">
      <w:rPr>
        <w:rFonts w:ascii="Times New Roman Bold" w:hAnsi="Times New Roman Bold"/>
        <w:b/>
        <w:spacing w:val="-3"/>
        <w:szCs w:val="28"/>
      </w:rPr>
      <w:instrText xml:space="preserve"> NUMPAGES </w:instrText>
    </w:r>
    <w:r w:rsidRPr="00857143">
      <w:rPr>
        <w:rFonts w:ascii="Times New Roman Bold" w:hAnsi="Times New Roman Bold"/>
        <w:b/>
        <w:spacing w:val="-3"/>
        <w:szCs w:val="28"/>
      </w:rPr>
      <w:fldChar w:fldCharType="separate"/>
    </w:r>
    <w:r w:rsidR="00CD404D">
      <w:rPr>
        <w:rFonts w:ascii="Times New Roman Bold" w:hAnsi="Times New Roman Bold"/>
        <w:b/>
        <w:noProof/>
        <w:spacing w:val="-3"/>
        <w:szCs w:val="28"/>
      </w:rPr>
      <w:t>2</w:t>
    </w:r>
    <w:r w:rsidRPr="00857143">
      <w:rPr>
        <w:rFonts w:ascii="Times New Roman Bold" w:hAnsi="Times New Roman Bold"/>
        <w:b/>
        <w:spacing w:val="-3"/>
        <w:szCs w:val="28"/>
      </w:rPr>
      <w:fldChar w:fldCharType="end"/>
    </w:r>
  </w:p>
  <w:p w14:paraId="3D5F6E31" w14:textId="77777777" w:rsidR="008D44A9" w:rsidRDefault="008D44A9">
    <w:pPr>
      <w:tabs>
        <w:tab w:val="right" w:pos="9360"/>
      </w:tabs>
      <w:suppressAutoHyphens/>
      <w:jc w:val="both"/>
      <w:rPr>
        <w:rFonts w:ascii="Times New Roman" w:hAnsi="Times New Roman"/>
        <w:b/>
        <w:smallCaps/>
        <w:sz w:val="24"/>
      </w:rPr>
    </w:pPr>
  </w:p>
  <w:p w14:paraId="11132E89" w14:textId="77777777" w:rsidR="008D44A9" w:rsidRDefault="008D44A9">
    <w:pPr>
      <w:tabs>
        <w:tab w:val="right" w:pos="9360"/>
      </w:tabs>
      <w:suppressAutoHyphens/>
      <w:jc w:val="both"/>
      <w:rPr>
        <w:rFonts w:ascii="Times New Roman" w:hAnsi="Times New Roman"/>
        <w:b/>
        <w:smallCaps/>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36E"/>
    <w:rsid w:val="0003467A"/>
    <w:rsid w:val="0005536E"/>
    <w:rsid w:val="00057393"/>
    <w:rsid w:val="0009146A"/>
    <w:rsid w:val="000E6D90"/>
    <w:rsid w:val="0010683F"/>
    <w:rsid w:val="00176228"/>
    <w:rsid w:val="001D58A3"/>
    <w:rsid w:val="0026441D"/>
    <w:rsid w:val="00290210"/>
    <w:rsid w:val="00292A03"/>
    <w:rsid w:val="00307CBB"/>
    <w:rsid w:val="00351623"/>
    <w:rsid w:val="00463CB9"/>
    <w:rsid w:val="004B17CA"/>
    <w:rsid w:val="004D6B2E"/>
    <w:rsid w:val="005875D3"/>
    <w:rsid w:val="00591747"/>
    <w:rsid w:val="00645B70"/>
    <w:rsid w:val="007A79E8"/>
    <w:rsid w:val="00857143"/>
    <w:rsid w:val="0088026D"/>
    <w:rsid w:val="008D44A9"/>
    <w:rsid w:val="00953E6D"/>
    <w:rsid w:val="0098467A"/>
    <w:rsid w:val="009B3116"/>
    <w:rsid w:val="009D71C5"/>
    <w:rsid w:val="00A07261"/>
    <w:rsid w:val="00B5579E"/>
    <w:rsid w:val="00C5039E"/>
    <w:rsid w:val="00C60236"/>
    <w:rsid w:val="00CB5C58"/>
    <w:rsid w:val="00CD404D"/>
    <w:rsid w:val="00CE3FE5"/>
    <w:rsid w:val="00DE2A1B"/>
    <w:rsid w:val="00E1602A"/>
    <w:rsid w:val="00EA73F4"/>
    <w:rsid w:val="00EF75B2"/>
    <w:rsid w:val="00F16EAA"/>
    <w:rsid w:val="00F440B2"/>
    <w:rsid w:val="00FD7C9E"/>
    <w:rsid w:val="00FE3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FA7F7"/>
  <w15:chartTrackingRefBased/>
  <w15:docId w15:val="{9ADF16F0-4F4B-4F47-B0F6-AB117F79D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Tiempo" w:hAnsi="Tiempo"/>
      <w:snapToGrid w:val="0"/>
      <w:sz w:val="28"/>
    </w:rPr>
  </w:style>
  <w:style w:type="paragraph" w:styleId="Heading1">
    <w:name w:val="heading 1"/>
    <w:basedOn w:val="Normal"/>
    <w:next w:val="Normal"/>
    <w:qFormat/>
    <w:pPr>
      <w:keepNext/>
      <w:tabs>
        <w:tab w:val="center" w:pos="4680"/>
      </w:tabs>
      <w:suppressAutoHyphens/>
      <w:spacing w:after="180" w:line="480" w:lineRule="auto"/>
      <w:jc w:val="center"/>
      <w:outlineLvl w:val="0"/>
    </w:pPr>
    <w:rPr>
      <w:rFonts w:ascii="Times New Roman" w:hAnsi="Times New Roman"/>
      <w:b/>
      <w:i/>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sid w:val="008D44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F09B-0E2E-49E4-8914-D0605803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2285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7</vt:lpstr>
    </vt:vector>
  </TitlesOfParts>
  <Company>Shanley&amp;Fisher</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Drinker Biddle &amp; Shanley, LLP</dc:creator>
  <cp:keywords/>
  <dc:description/>
  <cp:lastModifiedBy>Jayavidya Mukund</cp:lastModifiedBy>
  <cp:revision>2</cp:revision>
  <cp:lastPrinted>2006-11-28T16:35:00Z</cp:lastPrinted>
  <dcterms:created xsi:type="dcterms:W3CDTF">2020-01-02T20:03:00Z</dcterms:created>
  <dcterms:modified xsi:type="dcterms:W3CDTF">2020-01-02T20:03:00Z</dcterms:modified>
</cp:coreProperties>
</file>