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F3CF6" w14:textId="7078019D" w:rsidR="00AB303F" w:rsidRPr="00ED2564" w:rsidRDefault="00EC45B2" w:rsidP="005D61FA">
      <w:pPr>
        <w:tabs>
          <w:tab w:val="left" w:pos="-720"/>
          <w:tab w:val="left" w:pos="0"/>
        </w:tabs>
        <w:ind w:left="1440" w:hanging="1440"/>
        <w:jc w:val="both"/>
        <w:rPr>
          <w:rFonts w:ascii="Times New Roman" w:hAnsi="Times New Roman"/>
          <w:spacing w:val="-3"/>
        </w:rPr>
      </w:pPr>
      <w:r w:rsidRPr="00ED2564">
        <w:rPr>
          <w:rFonts w:ascii="Times New Roman" w:hAnsi="Times New Roman"/>
          <w:b/>
          <w:spacing w:val="-3"/>
        </w:rPr>
        <w:t>6</w:t>
      </w:r>
      <w:r w:rsidR="00AB303F" w:rsidRPr="00ED2564">
        <w:rPr>
          <w:rFonts w:ascii="Times New Roman" w:hAnsi="Times New Roman"/>
          <w:b/>
          <w:spacing w:val="-3"/>
        </w:rPr>
        <w:t>.13</w:t>
      </w:r>
      <w:r w:rsidR="00AB303F" w:rsidRPr="00ED2564">
        <w:rPr>
          <w:rFonts w:ascii="Times New Roman" w:hAnsi="Times New Roman"/>
          <w:b/>
          <w:spacing w:val="-3"/>
        </w:rPr>
        <w:tab/>
        <w:t xml:space="preserve">PROXIMATE CAUSE — WHERE THERE IS CLAIM THAT CONCURRENT CAUSES OF HARM ARE PRESENT </w:t>
      </w:r>
      <w:r w:rsidR="00AB303F" w:rsidRPr="00ED2564">
        <w:rPr>
          <w:rFonts w:ascii="Times New Roman" w:hAnsi="Times New Roman"/>
          <w:b/>
          <w:spacing w:val="-3"/>
          <w:u w:val="single"/>
        </w:rPr>
        <w:t>AND</w:t>
      </w:r>
      <w:r w:rsidR="00AB303F" w:rsidRPr="00ED2564">
        <w:rPr>
          <w:rFonts w:ascii="Times New Roman" w:hAnsi="Times New Roman"/>
          <w:b/>
          <w:spacing w:val="-3"/>
        </w:rPr>
        <w:t xml:space="preserve"> CLAIM THAT SPECIFIC HARM WAS NOT FORESEEABLE</w:t>
      </w:r>
      <w:r w:rsidR="00AB303F" w:rsidRPr="00ED2564">
        <w:rPr>
          <w:rFonts w:ascii="Times New Roman" w:hAnsi="Times New Roman"/>
          <w:spacing w:val="-3"/>
        </w:rPr>
        <w:t xml:space="preserve"> (Approved </w:t>
      </w:r>
      <w:r w:rsidR="005D61FA" w:rsidRPr="00ED2564">
        <w:rPr>
          <w:rFonts w:ascii="Times New Roman" w:hAnsi="Times New Roman"/>
          <w:spacing w:val="-3"/>
        </w:rPr>
        <w:t>0</w:t>
      </w:r>
      <w:r w:rsidR="00AB303F" w:rsidRPr="00ED2564">
        <w:rPr>
          <w:rFonts w:ascii="Times New Roman" w:hAnsi="Times New Roman"/>
          <w:spacing w:val="-3"/>
        </w:rPr>
        <w:t>5/</w:t>
      </w:r>
      <w:r w:rsidR="005D61FA" w:rsidRPr="00ED2564">
        <w:rPr>
          <w:rFonts w:ascii="Times New Roman" w:hAnsi="Times New Roman"/>
          <w:spacing w:val="-3"/>
        </w:rPr>
        <w:t>19</w:t>
      </w:r>
      <w:r w:rsidR="00AB303F" w:rsidRPr="00ED2564">
        <w:rPr>
          <w:rFonts w:ascii="Times New Roman" w:hAnsi="Times New Roman"/>
          <w:spacing w:val="-3"/>
        </w:rPr>
        <w:t>98</w:t>
      </w:r>
      <w:r w:rsidR="005D61FA" w:rsidRPr="00ED2564">
        <w:rPr>
          <w:rFonts w:ascii="Times New Roman" w:hAnsi="Times New Roman"/>
          <w:spacing w:val="-3"/>
        </w:rPr>
        <w:t>; Revised 0</w:t>
      </w:r>
      <w:r w:rsidR="005F6D4C">
        <w:rPr>
          <w:rFonts w:ascii="Times New Roman" w:hAnsi="Times New Roman"/>
          <w:spacing w:val="-3"/>
        </w:rPr>
        <w:t>9</w:t>
      </w:r>
      <w:r w:rsidR="005D61FA" w:rsidRPr="00ED2564">
        <w:rPr>
          <w:rFonts w:ascii="Times New Roman" w:hAnsi="Times New Roman"/>
          <w:spacing w:val="-3"/>
        </w:rPr>
        <w:t>/2021</w:t>
      </w:r>
      <w:r w:rsidR="00AB303F" w:rsidRPr="00ED2564">
        <w:rPr>
          <w:rFonts w:ascii="Times New Roman" w:hAnsi="Times New Roman"/>
          <w:spacing w:val="-3"/>
        </w:rPr>
        <w:t>)</w:t>
      </w:r>
    </w:p>
    <w:p w14:paraId="4D24A19F" w14:textId="115928CE" w:rsidR="005D61FA" w:rsidRPr="00ED2564" w:rsidRDefault="005D61FA" w:rsidP="005D61FA">
      <w:pPr>
        <w:tabs>
          <w:tab w:val="left" w:pos="-720"/>
          <w:tab w:val="left" w:pos="0"/>
        </w:tabs>
        <w:ind w:left="1440" w:hanging="1440"/>
        <w:jc w:val="both"/>
        <w:rPr>
          <w:rFonts w:ascii="Times New Roman" w:hAnsi="Times New Roman"/>
          <w:spacing w:val="-3"/>
        </w:rPr>
      </w:pPr>
    </w:p>
    <w:p w14:paraId="247F2AB9" w14:textId="77777777" w:rsidR="005D61FA" w:rsidRPr="00ED2564" w:rsidRDefault="005D61FA" w:rsidP="005D61FA">
      <w:pPr>
        <w:tabs>
          <w:tab w:val="left" w:pos="-720"/>
          <w:tab w:val="left" w:pos="0"/>
        </w:tabs>
        <w:ind w:left="1440" w:hanging="1440"/>
        <w:jc w:val="both"/>
        <w:rPr>
          <w:rFonts w:ascii="Times New Roman" w:hAnsi="Times New Roman"/>
          <w:spacing w:val="-3"/>
        </w:rPr>
      </w:pPr>
    </w:p>
    <w:p w14:paraId="2B42836F" w14:textId="3E2F98A9" w:rsidR="00AB303F" w:rsidRPr="00ED2564" w:rsidRDefault="00AB303F" w:rsidP="00BA56EC">
      <w:pPr>
        <w:pStyle w:val="Heading2"/>
        <w:tabs>
          <w:tab w:val="clear" w:pos="4680"/>
        </w:tabs>
        <w:spacing w:after="0"/>
        <w:rPr>
          <w:caps/>
          <w:sz w:val="28"/>
          <w:szCs w:val="28"/>
        </w:rPr>
      </w:pPr>
      <w:r w:rsidRPr="00ED2564">
        <w:rPr>
          <w:caps/>
          <w:sz w:val="28"/>
          <w:szCs w:val="28"/>
        </w:rPr>
        <w:t>Note to Judge</w:t>
      </w:r>
    </w:p>
    <w:p w14:paraId="4300610A" w14:textId="77777777" w:rsidR="005D61FA" w:rsidRPr="00ED2564" w:rsidRDefault="005D61FA" w:rsidP="005D61FA">
      <w:pPr>
        <w:rPr>
          <w:rFonts w:ascii="Times New Roman" w:hAnsi="Times New Roman"/>
        </w:rPr>
      </w:pPr>
    </w:p>
    <w:p w14:paraId="31B8F98A" w14:textId="77A76846" w:rsidR="00AB303F" w:rsidRPr="00ED2564" w:rsidRDefault="00AB303F" w:rsidP="005D61FA">
      <w:pPr>
        <w:tabs>
          <w:tab w:val="left" w:pos="-720"/>
          <w:tab w:val="left" w:pos="0"/>
        </w:tabs>
        <w:ind w:left="720" w:right="720"/>
        <w:jc w:val="both"/>
        <w:rPr>
          <w:rFonts w:ascii="Times New Roman" w:hAnsi="Times New Roman"/>
          <w:spacing w:val="-3"/>
        </w:rPr>
      </w:pPr>
      <w:r w:rsidRPr="00ED2564">
        <w:rPr>
          <w:rFonts w:ascii="Times New Roman" w:hAnsi="Times New Roman"/>
          <w:spacing w:val="-3"/>
        </w:rPr>
        <w:t xml:space="preserve">This instruction is based on the Supreme Court’s decision in </w:t>
      </w:r>
      <w:r w:rsidRPr="00ED2564">
        <w:rPr>
          <w:rFonts w:ascii="Times New Roman" w:hAnsi="Times New Roman"/>
          <w:i/>
          <w:spacing w:val="-3"/>
        </w:rPr>
        <w:t xml:space="preserve">Conklin v. </w:t>
      </w:r>
      <w:proofErr w:type="spellStart"/>
      <w:r w:rsidRPr="00ED2564">
        <w:rPr>
          <w:rFonts w:ascii="Times New Roman" w:hAnsi="Times New Roman"/>
          <w:i/>
          <w:spacing w:val="-3"/>
        </w:rPr>
        <w:t>Hannoch</w:t>
      </w:r>
      <w:proofErr w:type="spellEnd"/>
      <w:r w:rsidRPr="00ED2564">
        <w:rPr>
          <w:rFonts w:ascii="Times New Roman" w:hAnsi="Times New Roman"/>
          <w:i/>
          <w:spacing w:val="-3"/>
        </w:rPr>
        <w:t xml:space="preserve"> Weisman,</w:t>
      </w:r>
      <w:r w:rsidRPr="00ED2564">
        <w:rPr>
          <w:rFonts w:ascii="Times New Roman" w:hAnsi="Times New Roman"/>
          <w:spacing w:val="-3"/>
        </w:rPr>
        <w:t xml:space="preserve"> 145 </w:t>
      </w:r>
      <w:r w:rsidRPr="00ED2564">
        <w:rPr>
          <w:rFonts w:ascii="Times New Roman" w:hAnsi="Times New Roman"/>
          <w:i/>
          <w:spacing w:val="-3"/>
        </w:rPr>
        <w:t>N.J.</w:t>
      </w:r>
      <w:r w:rsidRPr="00ED2564">
        <w:rPr>
          <w:rFonts w:ascii="Times New Roman" w:hAnsi="Times New Roman"/>
          <w:spacing w:val="-3"/>
        </w:rPr>
        <w:t xml:space="preserve"> </w:t>
      </w:r>
      <w:r w:rsidR="003D061D">
        <w:rPr>
          <w:rFonts w:ascii="Times New Roman" w:hAnsi="Times New Roman"/>
          <w:spacing w:val="-3"/>
        </w:rPr>
        <w:t>395,</w:t>
      </w:r>
      <w:r w:rsidRPr="00ED2564">
        <w:rPr>
          <w:rFonts w:ascii="Times New Roman" w:hAnsi="Times New Roman"/>
          <w:spacing w:val="-3"/>
        </w:rPr>
        <w:t xml:space="preserve"> 416-22</w:t>
      </w:r>
      <w:r w:rsidR="003D061D">
        <w:rPr>
          <w:rFonts w:ascii="Times New Roman" w:hAnsi="Times New Roman"/>
          <w:spacing w:val="-3"/>
        </w:rPr>
        <w:t xml:space="preserve"> (1996)</w:t>
      </w:r>
      <w:r w:rsidRPr="00ED2564">
        <w:rPr>
          <w:rFonts w:ascii="Times New Roman" w:hAnsi="Times New Roman"/>
          <w:spacing w:val="-3"/>
        </w:rPr>
        <w:t xml:space="preserve">, and is designed to apply to appropriate negligence cases other than the legal malpractice situation discussed in </w:t>
      </w:r>
      <w:r w:rsidRPr="00ED2564">
        <w:rPr>
          <w:rFonts w:ascii="Times New Roman" w:hAnsi="Times New Roman"/>
          <w:i/>
          <w:spacing w:val="-3"/>
        </w:rPr>
        <w:t xml:space="preserve">Conklin.  </w:t>
      </w:r>
      <w:r w:rsidRPr="002118C9">
        <w:rPr>
          <w:rFonts w:ascii="Times New Roman" w:hAnsi="Times New Roman"/>
          <w:iCs/>
          <w:spacing w:val="-3"/>
        </w:rPr>
        <w:t>See also</w:t>
      </w:r>
      <w:r w:rsidRPr="00ED2564">
        <w:rPr>
          <w:rFonts w:ascii="Times New Roman" w:hAnsi="Times New Roman"/>
          <w:i/>
          <w:spacing w:val="-3"/>
        </w:rPr>
        <w:t xml:space="preserve"> Yun v. Ford Motor Co.,</w:t>
      </w:r>
      <w:r w:rsidRPr="00ED2564">
        <w:rPr>
          <w:rFonts w:ascii="Times New Roman" w:hAnsi="Times New Roman"/>
          <w:spacing w:val="-3"/>
        </w:rPr>
        <w:t xml:space="preserve"> 276 </w:t>
      </w:r>
      <w:r w:rsidRPr="00ED2564">
        <w:rPr>
          <w:rFonts w:ascii="Times New Roman" w:hAnsi="Times New Roman"/>
          <w:i/>
          <w:spacing w:val="-3"/>
        </w:rPr>
        <w:t>N.J. Super.</w:t>
      </w:r>
      <w:r w:rsidRPr="00ED2564">
        <w:rPr>
          <w:rFonts w:ascii="Times New Roman" w:hAnsi="Times New Roman"/>
          <w:spacing w:val="-3"/>
        </w:rPr>
        <w:t xml:space="preserve"> 142 (App. Div. 1994), </w:t>
      </w:r>
      <w:proofErr w:type="spellStart"/>
      <w:r w:rsidRPr="00ED2564">
        <w:rPr>
          <w:rFonts w:ascii="Times New Roman" w:hAnsi="Times New Roman"/>
          <w:i/>
          <w:spacing w:val="-3"/>
        </w:rPr>
        <w:t>rev’d</w:t>
      </w:r>
      <w:proofErr w:type="spellEnd"/>
      <w:r w:rsidRPr="00ED2564">
        <w:rPr>
          <w:rFonts w:ascii="Times New Roman" w:hAnsi="Times New Roman"/>
          <w:spacing w:val="-3"/>
        </w:rPr>
        <w:t xml:space="preserve">, 143 </w:t>
      </w:r>
      <w:r w:rsidRPr="00ED2564">
        <w:rPr>
          <w:rFonts w:ascii="Times New Roman" w:hAnsi="Times New Roman"/>
          <w:i/>
          <w:spacing w:val="-3"/>
        </w:rPr>
        <w:t>N.J.</w:t>
      </w:r>
      <w:r w:rsidRPr="00ED2564">
        <w:rPr>
          <w:rFonts w:ascii="Times New Roman" w:hAnsi="Times New Roman"/>
          <w:spacing w:val="-3"/>
        </w:rPr>
        <w:t xml:space="preserve"> 162, 163 (1996) (relying on reasons stated in </w:t>
      </w:r>
      <w:proofErr w:type="spellStart"/>
      <w:r w:rsidRPr="00ED2564">
        <w:rPr>
          <w:rFonts w:ascii="Times New Roman" w:hAnsi="Times New Roman"/>
          <w:spacing w:val="-3"/>
        </w:rPr>
        <w:t>Baime</w:t>
      </w:r>
      <w:proofErr w:type="spellEnd"/>
      <w:r w:rsidRPr="00ED2564">
        <w:rPr>
          <w:rFonts w:ascii="Times New Roman" w:hAnsi="Times New Roman"/>
          <w:spacing w:val="-3"/>
        </w:rPr>
        <w:t xml:space="preserve">, J.A.D., dissenting opinion, 276 </w:t>
      </w:r>
      <w:r w:rsidRPr="00ED2564">
        <w:rPr>
          <w:rFonts w:ascii="Times New Roman" w:hAnsi="Times New Roman"/>
          <w:i/>
          <w:spacing w:val="-3"/>
        </w:rPr>
        <w:t>N.J. Super</w:t>
      </w:r>
      <w:r w:rsidRPr="00ED2564">
        <w:rPr>
          <w:rFonts w:ascii="Times New Roman" w:hAnsi="Times New Roman"/>
          <w:spacing w:val="-3"/>
        </w:rPr>
        <w:t xml:space="preserve"> at 159).  For the proximate cause charge in legal malpractice cases, </w:t>
      </w:r>
      <w:r w:rsidRPr="002118C9">
        <w:rPr>
          <w:rFonts w:ascii="Times New Roman" w:hAnsi="Times New Roman"/>
          <w:iCs/>
          <w:spacing w:val="-3"/>
        </w:rPr>
        <w:t>see</w:t>
      </w:r>
      <w:r w:rsidRPr="00ED2564">
        <w:rPr>
          <w:rFonts w:ascii="Times New Roman" w:hAnsi="Times New Roman"/>
          <w:i/>
          <w:spacing w:val="-3"/>
        </w:rPr>
        <w:t xml:space="preserve"> </w:t>
      </w:r>
      <w:r w:rsidRPr="00ED2564">
        <w:rPr>
          <w:rFonts w:ascii="Times New Roman" w:hAnsi="Times New Roman"/>
          <w:spacing w:val="-3"/>
        </w:rPr>
        <w:t>M</w:t>
      </w:r>
      <w:r w:rsidR="00093DAE" w:rsidRPr="00ED2564">
        <w:rPr>
          <w:rFonts w:ascii="Times New Roman" w:hAnsi="Times New Roman"/>
          <w:spacing w:val="-3"/>
        </w:rPr>
        <w:t xml:space="preserve">odel Civil Charge </w:t>
      </w:r>
      <w:r w:rsidRPr="00ED2564">
        <w:rPr>
          <w:rFonts w:ascii="Times New Roman" w:hAnsi="Times New Roman"/>
          <w:spacing w:val="-3"/>
        </w:rPr>
        <w:t>5.</w:t>
      </w:r>
      <w:r w:rsidR="00654385" w:rsidRPr="00ED2564">
        <w:rPr>
          <w:rFonts w:ascii="Times New Roman" w:hAnsi="Times New Roman"/>
          <w:spacing w:val="-3"/>
        </w:rPr>
        <w:t>51B</w:t>
      </w:r>
      <w:r w:rsidRPr="00ED2564">
        <w:rPr>
          <w:rFonts w:ascii="Times New Roman" w:hAnsi="Times New Roman"/>
          <w:spacing w:val="-3"/>
        </w:rPr>
        <w:t xml:space="preserve">.  This charge can also be modified to cover “failure to act” cases.  </w:t>
      </w:r>
    </w:p>
    <w:p w14:paraId="333CCA74" w14:textId="77777777" w:rsidR="005D61FA" w:rsidRPr="00ED2564" w:rsidRDefault="005D61FA" w:rsidP="005D61FA">
      <w:pPr>
        <w:tabs>
          <w:tab w:val="left" w:pos="-720"/>
          <w:tab w:val="left" w:pos="0"/>
        </w:tabs>
        <w:ind w:left="720" w:right="720"/>
        <w:jc w:val="both"/>
        <w:rPr>
          <w:rFonts w:ascii="Times New Roman" w:hAnsi="Times New Roman"/>
          <w:spacing w:val="-3"/>
        </w:rPr>
      </w:pPr>
    </w:p>
    <w:p w14:paraId="2049F029" w14:textId="3D96C46A" w:rsidR="00AB303F" w:rsidRPr="00ED2564" w:rsidRDefault="00AB303F" w:rsidP="005D61FA">
      <w:pPr>
        <w:tabs>
          <w:tab w:val="left" w:pos="-720"/>
          <w:tab w:val="left" w:pos="0"/>
        </w:tabs>
        <w:ind w:left="720" w:right="720"/>
        <w:jc w:val="both"/>
        <w:rPr>
          <w:rFonts w:ascii="Times New Roman" w:hAnsi="Times New Roman"/>
          <w:spacing w:val="-3"/>
        </w:rPr>
      </w:pPr>
      <w:r w:rsidRPr="00ED2564">
        <w:rPr>
          <w:rFonts w:ascii="Times New Roman" w:hAnsi="Times New Roman"/>
          <w:spacing w:val="-3"/>
        </w:rPr>
        <w:t xml:space="preserve">However, when foreseeability is a “red herring” in a particular case, </w:t>
      </w:r>
      <w:r w:rsidRPr="00ED2564">
        <w:rPr>
          <w:rFonts w:ascii="Times New Roman" w:hAnsi="Times New Roman"/>
          <w:i/>
          <w:spacing w:val="-3"/>
        </w:rPr>
        <w:t>Conklin,</w:t>
      </w:r>
      <w:r w:rsidRPr="00ED2564">
        <w:rPr>
          <w:rFonts w:ascii="Times New Roman" w:hAnsi="Times New Roman"/>
          <w:spacing w:val="-3"/>
        </w:rPr>
        <w:t xml:space="preserve"> 145 </w:t>
      </w:r>
      <w:r w:rsidRPr="00ED2564">
        <w:rPr>
          <w:rFonts w:ascii="Times New Roman" w:hAnsi="Times New Roman"/>
          <w:i/>
          <w:spacing w:val="-3"/>
        </w:rPr>
        <w:t>N.J.</w:t>
      </w:r>
      <w:r w:rsidRPr="00ED2564">
        <w:rPr>
          <w:rFonts w:ascii="Times New Roman" w:hAnsi="Times New Roman"/>
          <w:spacing w:val="-3"/>
        </w:rPr>
        <w:t xml:space="preserve"> at 420, it might be more appropriate to charge M</w:t>
      </w:r>
      <w:r w:rsidR="00093DAE" w:rsidRPr="00ED2564">
        <w:rPr>
          <w:rFonts w:ascii="Times New Roman" w:hAnsi="Times New Roman"/>
          <w:spacing w:val="-3"/>
        </w:rPr>
        <w:t>odel Civil Charge</w:t>
      </w:r>
      <w:r w:rsidR="00654385" w:rsidRPr="00ED2564">
        <w:rPr>
          <w:rFonts w:ascii="Times New Roman" w:hAnsi="Times New Roman"/>
          <w:spacing w:val="-3"/>
        </w:rPr>
        <w:t xml:space="preserve"> 6</w:t>
      </w:r>
      <w:r w:rsidRPr="00ED2564">
        <w:rPr>
          <w:rFonts w:ascii="Times New Roman" w:hAnsi="Times New Roman"/>
          <w:spacing w:val="-3"/>
        </w:rPr>
        <w:t>.12, which does not include foreseeability language.  When there is a claim of an intervening or superseding cause, M</w:t>
      </w:r>
      <w:r w:rsidR="00093DAE" w:rsidRPr="00ED2564">
        <w:rPr>
          <w:rFonts w:ascii="Times New Roman" w:hAnsi="Times New Roman"/>
          <w:spacing w:val="-3"/>
        </w:rPr>
        <w:t xml:space="preserve">odel Civil Charge </w:t>
      </w:r>
      <w:r w:rsidR="00654385" w:rsidRPr="00ED2564">
        <w:rPr>
          <w:rFonts w:ascii="Times New Roman" w:hAnsi="Times New Roman"/>
          <w:spacing w:val="-3"/>
        </w:rPr>
        <w:t>6</w:t>
      </w:r>
      <w:r w:rsidRPr="00ED2564">
        <w:rPr>
          <w:rFonts w:ascii="Times New Roman" w:hAnsi="Times New Roman"/>
          <w:spacing w:val="-3"/>
        </w:rPr>
        <w:t xml:space="preserve">.14 should also be charged.  </w:t>
      </w:r>
    </w:p>
    <w:p w14:paraId="5BF9DBBD" w14:textId="77777777" w:rsidR="005D61FA" w:rsidRPr="00ED2564" w:rsidRDefault="005D61FA" w:rsidP="005D61FA">
      <w:pPr>
        <w:tabs>
          <w:tab w:val="left" w:pos="-720"/>
          <w:tab w:val="left" w:pos="0"/>
        </w:tabs>
        <w:ind w:left="720" w:right="720"/>
        <w:jc w:val="both"/>
        <w:rPr>
          <w:rFonts w:ascii="Times New Roman" w:hAnsi="Times New Roman"/>
          <w:spacing w:val="-3"/>
        </w:rPr>
      </w:pPr>
    </w:p>
    <w:p w14:paraId="416E4613" w14:textId="330C1859" w:rsidR="00AB303F" w:rsidRPr="00ED2564" w:rsidRDefault="00AB303F" w:rsidP="002F6690">
      <w:pPr>
        <w:spacing w:line="480" w:lineRule="auto"/>
        <w:jc w:val="both"/>
        <w:rPr>
          <w:rFonts w:ascii="Times New Roman" w:hAnsi="Times New Roman"/>
          <w:spacing w:val="-3"/>
        </w:rPr>
      </w:pPr>
      <w:r w:rsidRPr="00ED2564">
        <w:rPr>
          <w:rFonts w:ascii="Times New Roman" w:hAnsi="Times New Roman"/>
          <w:spacing w:val="-3"/>
        </w:rPr>
        <w:tab/>
        <w:t xml:space="preserve">To find proximate cause, you must first find that </w:t>
      </w:r>
      <w:r w:rsidRPr="00ED2564">
        <w:rPr>
          <w:rFonts w:ascii="Times New Roman" w:hAnsi="Times New Roman"/>
          <w:i/>
          <w:spacing w:val="-3"/>
        </w:rPr>
        <w:t>[name of defendant or party]</w:t>
      </w:r>
      <w:r w:rsidR="003D061D" w:rsidRPr="003D061D">
        <w:rPr>
          <w:rFonts w:ascii="Times New Roman" w:hAnsi="Times New Roman"/>
          <w:i/>
          <w:iCs/>
          <w:spacing w:val="-3"/>
        </w:rPr>
        <w:t>’s</w:t>
      </w:r>
      <w:r w:rsidRPr="00ED2564">
        <w:rPr>
          <w:rFonts w:ascii="Times New Roman" w:hAnsi="Times New Roman"/>
          <w:spacing w:val="-3"/>
        </w:rPr>
        <w:t xml:space="preserve"> negligence was a cause of the accident/incident/event.  If you find that </w:t>
      </w:r>
      <w:r w:rsidRPr="00ED2564">
        <w:rPr>
          <w:rFonts w:ascii="Times New Roman" w:hAnsi="Times New Roman"/>
          <w:i/>
          <w:spacing w:val="-3"/>
        </w:rPr>
        <w:t>[name of defendant or other party]</w:t>
      </w:r>
      <w:r w:rsidR="003D061D" w:rsidRPr="003D061D">
        <w:rPr>
          <w:rFonts w:ascii="Times New Roman" w:hAnsi="Times New Roman"/>
          <w:i/>
          <w:iCs/>
          <w:spacing w:val="-3"/>
        </w:rPr>
        <w:t>’s</w:t>
      </w:r>
      <w:r w:rsidRPr="00ED2564">
        <w:rPr>
          <w:rFonts w:ascii="Times New Roman" w:hAnsi="Times New Roman"/>
          <w:spacing w:val="-3"/>
        </w:rPr>
        <w:t xml:space="preserve"> negligence is not a cause of the accident/incident/event, then you must find no proximate cause.  </w:t>
      </w:r>
    </w:p>
    <w:p w14:paraId="3E8321CA" w14:textId="51E7282E" w:rsidR="00AB303F" w:rsidRPr="00ED2564" w:rsidRDefault="00AB303F" w:rsidP="00ED2564">
      <w:pPr>
        <w:tabs>
          <w:tab w:val="left" w:pos="-720"/>
        </w:tabs>
        <w:spacing w:line="480" w:lineRule="auto"/>
        <w:jc w:val="both"/>
        <w:rPr>
          <w:rFonts w:ascii="Times New Roman" w:hAnsi="Times New Roman"/>
          <w:spacing w:val="-3"/>
        </w:rPr>
      </w:pPr>
      <w:r w:rsidRPr="00ED2564">
        <w:rPr>
          <w:rFonts w:ascii="Times New Roman" w:hAnsi="Times New Roman"/>
          <w:spacing w:val="-3"/>
        </w:rPr>
        <w:tab/>
        <w:t xml:space="preserve">Second, you must find that </w:t>
      </w:r>
      <w:r w:rsidRPr="00ED2564">
        <w:rPr>
          <w:rFonts w:ascii="Times New Roman" w:hAnsi="Times New Roman"/>
          <w:i/>
          <w:spacing w:val="-3"/>
        </w:rPr>
        <w:t>[name of defendant or other party]</w:t>
      </w:r>
      <w:r w:rsidRPr="00ED2564">
        <w:rPr>
          <w:rFonts w:ascii="Times New Roman" w:hAnsi="Times New Roman"/>
          <w:spacing w:val="-3"/>
        </w:rPr>
        <w:t xml:space="preserve"> negligence was a substantial factor that singly, or in combination with other causes, brought about the injury/loss/harm claimed by </w:t>
      </w:r>
      <w:r w:rsidRPr="00ED2564">
        <w:rPr>
          <w:rFonts w:ascii="Times New Roman" w:hAnsi="Times New Roman"/>
          <w:i/>
          <w:spacing w:val="-3"/>
        </w:rPr>
        <w:t>[name of plaintiff]</w:t>
      </w:r>
      <w:r w:rsidRPr="00ED2564">
        <w:rPr>
          <w:rFonts w:ascii="Times New Roman" w:hAnsi="Times New Roman"/>
          <w:spacing w:val="-3"/>
        </w:rPr>
        <w:t xml:space="preserve">.  By substantial, it is meant </w:t>
      </w:r>
      <w:r w:rsidRPr="00ED2564">
        <w:rPr>
          <w:rFonts w:ascii="Times New Roman" w:hAnsi="Times New Roman"/>
          <w:spacing w:val="-3"/>
        </w:rPr>
        <w:lastRenderedPageBreak/>
        <w:t xml:space="preserve">that it was not a remote, </w:t>
      </w:r>
      <w:r w:rsidR="004F2AEF" w:rsidRPr="00ED2564">
        <w:rPr>
          <w:rFonts w:ascii="Times New Roman" w:hAnsi="Times New Roman"/>
          <w:spacing w:val="-3"/>
        </w:rPr>
        <w:t>trivial</w:t>
      </w:r>
      <w:r w:rsidRPr="00ED2564">
        <w:rPr>
          <w:rFonts w:ascii="Times New Roman" w:hAnsi="Times New Roman"/>
          <w:spacing w:val="-3"/>
        </w:rPr>
        <w:t xml:space="preserve"> or inconsequential cause.  The mere circumstance that there may also be another cause of the injury/loss/harm does not mean that there cannot be a finding of proximate cause.  Nor is it necessary for the negligence of </w:t>
      </w:r>
      <w:r w:rsidRPr="00ED2564">
        <w:rPr>
          <w:rFonts w:ascii="Times New Roman" w:hAnsi="Times New Roman"/>
          <w:i/>
          <w:spacing w:val="-3"/>
        </w:rPr>
        <w:t>[name of the defendant or other party]</w:t>
      </w:r>
      <w:r w:rsidRPr="00ED2564">
        <w:rPr>
          <w:rFonts w:ascii="Times New Roman" w:hAnsi="Times New Roman"/>
          <w:spacing w:val="-3"/>
        </w:rPr>
        <w:t xml:space="preserve"> to be the sole cause of </w:t>
      </w:r>
      <w:r w:rsidRPr="00ED2564">
        <w:rPr>
          <w:rFonts w:ascii="Times New Roman" w:hAnsi="Times New Roman"/>
          <w:i/>
          <w:spacing w:val="-3"/>
        </w:rPr>
        <w:t>[name of plaintiff]</w:t>
      </w:r>
      <w:r w:rsidR="003D061D" w:rsidRPr="003D061D">
        <w:rPr>
          <w:rFonts w:ascii="Times New Roman" w:hAnsi="Times New Roman"/>
          <w:i/>
          <w:iCs/>
          <w:spacing w:val="-3"/>
        </w:rPr>
        <w:t>’s</w:t>
      </w:r>
      <w:r w:rsidRPr="00ED2564">
        <w:rPr>
          <w:rFonts w:ascii="Times New Roman" w:hAnsi="Times New Roman"/>
          <w:spacing w:val="-3"/>
        </w:rPr>
        <w:t xml:space="preserve"> injury/loss/harm.  However, you must find that </w:t>
      </w:r>
      <w:r w:rsidRPr="00ED2564">
        <w:rPr>
          <w:rFonts w:ascii="Times New Roman" w:hAnsi="Times New Roman"/>
          <w:i/>
          <w:spacing w:val="-3"/>
        </w:rPr>
        <w:t>[name of defendant or other party]</w:t>
      </w:r>
      <w:r w:rsidR="003D061D" w:rsidRPr="003D061D">
        <w:rPr>
          <w:rFonts w:ascii="Times New Roman" w:hAnsi="Times New Roman"/>
          <w:i/>
          <w:iCs/>
          <w:spacing w:val="-3"/>
        </w:rPr>
        <w:t>’s</w:t>
      </w:r>
      <w:r w:rsidRPr="00ED2564">
        <w:rPr>
          <w:rFonts w:ascii="Times New Roman" w:hAnsi="Times New Roman"/>
          <w:spacing w:val="-3"/>
        </w:rPr>
        <w:t xml:space="preserve"> negligence was a substantial factor in bringing about the injury/loss/harm.  </w:t>
      </w:r>
    </w:p>
    <w:p w14:paraId="47B428E2" w14:textId="3E1401FF" w:rsidR="00AB303F" w:rsidRPr="00ED2564" w:rsidRDefault="00AB303F" w:rsidP="00ED2564">
      <w:pPr>
        <w:tabs>
          <w:tab w:val="left" w:pos="-720"/>
        </w:tabs>
        <w:spacing w:line="480" w:lineRule="auto"/>
        <w:jc w:val="both"/>
        <w:rPr>
          <w:rFonts w:ascii="Times New Roman" w:hAnsi="Times New Roman"/>
          <w:spacing w:val="-3"/>
        </w:rPr>
      </w:pPr>
      <w:r w:rsidRPr="00ED2564">
        <w:rPr>
          <w:rFonts w:ascii="Times New Roman" w:hAnsi="Times New Roman"/>
          <w:spacing w:val="-3"/>
        </w:rPr>
        <w:tab/>
        <w:t xml:space="preserve">Third, you must find that some injury/loss/harm to </w:t>
      </w:r>
      <w:r w:rsidRPr="00ED2564">
        <w:rPr>
          <w:rFonts w:ascii="Times New Roman" w:hAnsi="Times New Roman"/>
          <w:i/>
          <w:spacing w:val="-3"/>
        </w:rPr>
        <w:t>[name of plaintiff]</w:t>
      </w:r>
      <w:r w:rsidRPr="00ED2564">
        <w:rPr>
          <w:rFonts w:ascii="Times New Roman" w:hAnsi="Times New Roman"/>
          <w:spacing w:val="-3"/>
        </w:rPr>
        <w:t xml:space="preserve"> must have been foreseeable.  For the injury/loss/harm to be foreseeable, it is not necessary that the precise injury/loss/harm that occurred here was foreseeable by </w:t>
      </w:r>
      <w:r w:rsidRPr="00ED2564">
        <w:rPr>
          <w:rFonts w:ascii="Times New Roman" w:hAnsi="Times New Roman"/>
          <w:i/>
          <w:spacing w:val="-3"/>
        </w:rPr>
        <w:t>[name of defendant or other party]</w:t>
      </w:r>
      <w:r w:rsidRPr="00ED2564">
        <w:rPr>
          <w:rFonts w:ascii="Times New Roman" w:hAnsi="Times New Roman"/>
          <w:spacing w:val="-3"/>
        </w:rPr>
        <w:t xml:space="preserve">.  Rather, a reasonable person should have anticipated the risk that </w:t>
      </w:r>
      <w:r w:rsidRPr="00ED2564">
        <w:rPr>
          <w:rFonts w:ascii="Times New Roman" w:hAnsi="Times New Roman"/>
          <w:i/>
          <w:spacing w:val="-3"/>
        </w:rPr>
        <w:t>[name of defendant or other party]</w:t>
      </w:r>
      <w:r w:rsidR="003D061D" w:rsidRPr="003D061D">
        <w:rPr>
          <w:rFonts w:ascii="Times New Roman" w:hAnsi="Times New Roman"/>
          <w:i/>
          <w:iCs/>
          <w:spacing w:val="-3"/>
        </w:rPr>
        <w:t>’s</w:t>
      </w:r>
      <w:r w:rsidRPr="00ED2564">
        <w:rPr>
          <w:rFonts w:ascii="Times New Roman" w:hAnsi="Times New Roman"/>
          <w:spacing w:val="-3"/>
        </w:rPr>
        <w:t xml:space="preserve"> conduct </w:t>
      </w:r>
      <w:r w:rsidRPr="00ED2564">
        <w:rPr>
          <w:rFonts w:ascii="Times New Roman" w:hAnsi="Times New Roman"/>
          <w:i/>
          <w:spacing w:val="-3"/>
        </w:rPr>
        <w:t>[omission]</w:t>
      </w:r>
      <w:r w:rsidRPr="00ED2564">
        <w:rPr>
          <w:rFonts w:ascii="Times New Roman" w:hAnsi="Times New Roman"/>
          <w:spacing w:val="-3"/>
        </w:rPr>
        <w:t xml:space="preserve"> could cause some injury/loss/harm</w:t>
      </w:r>
      <w:r w:rsidRPr="00ED2564">
        <w:rPr>
          <w:rStyle w:val="FootnoteReference"/>
          <w:rFonts w:ascii="Times New Roman" w:hAnsi="Times New Roman"/>
          <w:spacing w:val="-3"/>
        </w:rPr>
        <w:footnoteReference w:id="1"/>
      </w:r>
      <w:r w:rsidRPr="00ED2564">
        <w:rPr>
          <w:rFonts w:ascii="Times New Roman" w:hAnsi="Times New Roman"/>
          <w:spacing w:val="-3"/>
        </w:rPr>
        <w:t xml:space="preserve"> suffered by </w:t>
      </w:r>
      <w:r w:rsidRPr="00ED2564">
        <w:rPr>
          <w:rFonts w:ascii="Times New Roman" w:hAnsi="Times New Roman"/>
          <w:i/>
          <w:spacing w:val="-3"/>
        </w:rPr>
        <w:t>[name of plaintiff]</w:t>
      </w:r>
      <w:r w:rsidRPr="00ED2564">
        <w:rPr>
          <w:rFonts w:ascii="Times New Roman" w:hAnsi="Times New Roman"/>
          <w:spacing w:val="-3"/>
        </w:rPr>
        <w:t xml:space="preserve">.  In other words, if some injury/loss/harm from </w:t>
      </w:r>
      <w:r w:rsidRPr="00ED2564">
        <w:rPr>
          <w:rFonts w:ascii="Times New Roman" w:hAnsi="Times New Roman"/>
          <w:i/>
          <w:spacing w:val="-3"/>
        </w:rPr>
        <w:t>[name of defendant or other party]</w:t>
      </w:r>
      <w:r w:rsidR="003D061D" w:rsidRPr="003D061D">
        <w:rPr>
          <w:rFonts w:ascii="Times New Roman" w:hAnsi="Times New Roman"/>
          <w:i/>
          <w:iCs/>
          <w:spacing w:val="-3"/>
        </w:rPr>
        <w:t>’s</w:t>
      </w:r>
      <w:r w:rsidRPr="00ED2564">
        <w:rPr>
          <w:rFonts w:ascii="Times New Roman" w:hAnsi="Times New Roman"/>
          <w:iCs/>
          <w:spacing w:val="-3"/>
        </w:rPr>
        <w:t xml:space="preserve"> </w:t>
      </w:r>
      <w:r w:rsidRPr="00ED2564">
        <w:rPr>
          <w:rFonts w:ascii="Times New Roman" w:hAnsi="Times New Roman"/>
          <w:spacing w:val="-3"/>
        </w:rPr>
        <w:t xml:space="preserve">negligence was within the realm of reasonable foreseeability, then the injury/loss/harm is considered foreseeable.  On the other hand, if the risk of injury/loss/harm was so remote as </w:t>
      </w:r>
      <w:r w:rsidR="00093DAE" w:rsidRPr="00ED2564">
        <w:rPr>
          <w:rFonts w:ascii="Times New Roman" w:hAnsi="Times New Roman"/>
          <w:spacing w:val="-3"/>
        </w:rPr>
        <w:t xml:space="preserve">not </w:t>
      </w:r>
      <w:r w:rsidR="00093DAE" w:rsidRPr="00ED2564">
        <w:rPr>
          <w:rFonts w:ascii="Times New Roman" w:hAnsi="Times New Roman"/>
          <w:spacing w:val="-3"/>
        </w:rPr>
        <w:lastRenderedPageBreak/>
        <w:t xml:space="preserve">to </w:t>
      </w:r>
      <w:r w:rsidRPr="00ED2564">
        <w:rPr>
          <w:rFonts w:ascii="Times New Roman" w:hAnsi="Times New Roman"/>
          <w:spacing w:val="-3"/>
        </w:rPr>
        <w:t xml:space="preserve">be in the realm of reasonable foreseeability, you must find no proximate cause.  </w:t>
      </w:r>
    </w:p>
    <w:p w14:paraId="65915285" w14:textId="50EB4519" w:rsidR="00AB303F" w:rsidRPr="00ED2564" w:rsidRDefault="00AB303F" w:rsidP="00ED2564">
      <w:pPr>
        <w:tabs>
          <w:tab w:val="left" w:pos="-720"/>
        </w:tabs>
        <w:spacing w:line="480" w:lineRule="auto"/>
        <w:jc w:val="both"/>
        <w:rPr>
          <w:rFonts w:ascii="Times New Roman" w:hAnsi="Times New Roman"/>
          <w:spacing w:val="-3"/>
        </w:rPr>
      </w:pPr>
      <w:r w:rsidRPr="00ED2564">
        <w:rPr>
          <w:rFonts w:ascii="Times New Roman" w:hAnsi="Times New Roman"/>
          <w:spacing w:val="-3"/>
        </w:rPr>
        <w:tab/>
        <w:t xml:space="preserve">In sum, in order to find proximate cause, you must find that the negligence of </w:t>
      </w:r>
      <w:r w:rsidRPr="00ED2564">
        <w:rPr>
          <w:rFonts w:ascii="Times New Roman" w:hAnsi="Times New Roman"/>
          <w:i/>
          <w:spacing w:val="-3"/>
        </w:rPr>
        <w:t>[name of defendant or other party]</w:t>
      </w:r>
      <w:r w:rsidRPr="00ED2564">
        <w:rPr>
          <w:rFonts w:ascii="Times New Roman" w:hAnsi="Times New Roman"/>
          <w:spacing w:val="-3"/>
        </w:rPr>
        <w:t xml:space="preserve"> was a substantial factor in bringing about the injury/loss/harm that occurred </w:t>
      </w:r>
      <w:r w:rsidR="00C27D95" w:rsidRPr="00ED2564">
        <w:rPr>
          <w:rFonts w:ascii="Times New Roman" w:hAnsi="Times New Roman"/>
          <w:spacing w:val="-3"/>
        </w:rPr>
        <w:t xml:space="preserve">and </w:t>
      </w:r>
      <w:r w:rsidRPr="00ED2564">
        <w:rPr>
          <w:rFonts w:ascii="Times New Roman" w:hAnsi="Times New Roman"/>
          <w:spacing w:val="-3"/>
        </w:rPr>
        <w:t xml:space="preserve">that some harm to </w:t>
      </w:r>
      <w:r w:rsidRPr="00ED2564">
        <w:rPr>
          <w:rFonts w:ascii="Times New Roman" w:hAnsi="Times New Roman"/>
          <w:i/>
          <w:spacing w:val="-3"/>
        </w:rPr>
        <w:t>[name of plaintiff]</w:t>
      </w:r>
      <w:r w:rsidRPr="00ED2564">
        <w:rPr>
          <w:rFonts w:ascii="Times New Roman" w:hAnsi="Times New Roman"/>
          <w:spacing w:val="-3"/>
        </w:rPr>
        <w:t xml:space="preserve"> was foreseeable from </w:t>
      </w:r>
      <w:r w:rsidRPr="00ED2564">
        <w:rPr>
          <w:rFonts w:ascii="Times New Roman" w:hAnsi="Times New Roman"/>
          <w:i/>
          <w:spacing w:val="-3"/>
        </w:rPr>
        <w:t>[name of defendant or other party]</w:t>
      </w:r>
      <w:r w:rsidR="003D061D" w:rsidRPr="003D061D">
        <w:rPr>
          <w:rFonts w:ascii="Times New Roman" w:hAnsi="Times New Roman"/>
          <w:i/>
          <w:iCs/>
          <w:spacing w:val="-3"/>
        </w:rPr>
        <w:t>’s</w:t>
      </w:r>
      <w:r w:rsidRPr="00ED2564">
        <w:rPr>
          <w:rFonts w:ascii="Times New Roman" w:hAnsi="Times New Roman"/>
          <w:iCs/>
          <w:spacing w:val="-3"/>
        </w:rPr>
        <w:t xml:space="preserve"> </w:t>
      </w:r>
      <w:r w:rsidRPr="00ED2564">
        <w:rPr>
          <w:rFonts w:ascii="Times New Roman" w:hAnsi="Times New Roman"/>
          <w:spacing w:val="-3"/>
        </w:rPr>
        <w:t>negligence.</w:t>
      </w:r>
    </w:p>
    <w:sectPr w:rsidR="00AB303F" w:rsidRPr="00ED2564" w:rsidSect="005D61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 w:code="1"/>
      <w:pgMar w:top="1008" w:right="1440" w:bottom="1440" w:left="1440" w:header="1440" w:footer="1440" w:gutter="288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7F3FD" w14:textId="77777777" w:rsidR="007E5E2C" w:rsidRDefault="007E5E2C">
      <w:pPr>
        <w:widowControl/>
        <w:spacing w:line="20" w:lineRule="exact"/>
        <w:rPr>
          <w:sz w:val="24"/>
        </w:rPr>
      </w:pPr>
    </w:p>
  </w:endnote>
  <w:endnote w:type="continuationSeparator" w:id="0">
    <w:p w14:paraId="388E99DE" w14:textId="77777777" w:rsidR="007E5E2C" w:rsidRDefault="007E5E2C">
      <w:r>
        <w:rPr>
          <w:sz w:val="24"/>
        </w:rPr>
        <w:t xml:space="preserve"> </w:t>
      </w:r>
    </w:p>
  </w:endnote>
  <w:endnote w:type="continuationNotice" w:id="1">
    <w:p w14:paraId="27F7E2D4" w14:textId="77777777" w:rsidR="007E5E2C" w:rsidRDefault="007E5E2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8F217" w14:textId="77777777" w:rsidR="00AB303F" w:rsidRDefault="00AB303F">
    <w:pPr>
      <w:pStyle w:val="Footer"/>
      <w:rPr>
        <w:rFonts w:ascii="Times New Roman" w:hAnsi="Times New Roman"/>
        <w:b/>
        <w:sz w:val="24"/>
      </w:rPr>
    </w:pPr>
    <w:r>
      <w:rPr>
        <w:rStyle w:val="PageNumber"/>
        <w:rFonts w:ascii="Times New Roman" w:hAnsi="Times New Roman"/>
        <w:b/>
        <w:sz w:val="24"/>
      </w:rPr>
      <w:t>7.13-</w:t>
    </w:r>
    <w:r>
      <w:rPr>
        <w:rStyle w:val="PageNumber"/>
        <w:rFonts w:ascii="Times New Roman" w:hAnsi="Times New Roman"/>
        <w:b/>
        <w:sz w:val="24"/>
      </w:rPr>
      <w:fldChar w:fldCharType="begin"/>
    </w:r>
    <w:r>
      <w:rPr>
        <w:rStyle w:val="PageNumber"/>
        <w:rFonts w:ascii="Times New Roman" w:hAnsi="Times New Roman"/>
        <w:b/>
        <w:sz w:val="24"/>
      </w:rPr>
      <w:instrText xml:space="preserve"> PAGE </w:instrText>
    </w:r>
    <w:r>
      <w:rPr>
        <w:rStyle w:val="PageNumber"/>
        <w:rFonts w:ascii="Times New Roman" w:hAnsi="Times New Roman"/>
        <w:b/>
        <w:sz w:val="24"/>
      </w:rPr>
      <w:fldChar w:fldCharType="separate"/>
    </w:r>
    <w:r>
      <w:rPr>
        <w:rStyle w:val="PageNumber"/>
        <w:rFonts w:ascii="Times New Roman" w:hAnsi="Times New Roman"/>
        <w:b/>
        <w:noProof/>
        <w:sz w:val="24"/>
      </w:rPr>
      <w:t>2</w:t>
    </w:r>
    <w:r>
      <w:rPr>
        <w:rStyle w:val="PageNumber"/>
        <w:rFonts w:ascii="Times New Roman" w:hAnsi="Times New Roman"/>
        <w:b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42807" w14:textId="77777777" w:rsidR="00802167" w:rsidRDefault="008021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13A4C" w14:textId="77777777" w:rsidR="00802167" w:rsidRDefault="00802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7B227" w14:textId="77777777" w:rsidR="007E5E2C" w:rsidRDefault="007E5E2C">
      <w:r>
        <w:rPr>
          <w:sz w:val="24"/>
        </w:rPr>
        <w:separator/>
      </w:r>
    </w:p>
  </w:footnote>
  <w:footnote w:type="continuationSeparator" w:id="0">
    <w:p w14:paraId="7D887597" w14:textId="77777777" w:rsidR="007E5E2C" w:rsidRDefault="007E5E2C">
      <w:r>
        <w:continuationSeparator/>
      </w:r>
    </w:p>
  </w:footnote>
  <w:footnote w:id="1">
    <w:p w14:paraId="075C9947" w14:textId="3D71946A" w:rsidR="00AB303F" w:rsidRPr="00ED2564" w:rsidRDefault="00AB303F" w:rsidP="005D61FA">
      <w:pPr>
        <w:pStyle w:val="FootnoteText"/>
        <w:tabs>
          <w:tab w:val="left" w:pos="-720"/>
          <w:tab w:val="left" w:pos="180"/>
        </w:tabs>
        <w:spacing w:after="120"/>
        <w:jc w:val="both"/>
        <w:rPr>
          <w:rFonts w:ascii="Times New Roman" w:hAnsi="Times New Roman"/>
          <w:i/>
          <w:iCs/>
          <w:spacing w:val="-3"/>
        </w:rPr>
      </w:pPr>
      <w:r w:rsidRPr="00ED2564">
        <w:rPr>
          <w:rStyle w:val="FootnoteReference"/>
          <w:rFonts w:ascii="Times New Roman" w:hAnsi="Times New Roman"/>
          <w:spacing w:val="-3"/>
        </w:rPr>
        <w:footnoteRef/>
      </w:r>
      <w:r w:rsidR="005D61FA" w:rsidRPr="00ED2564">
        <w:rPr>
          <w:rFonts w:ascii="Times New Roman" w:hAnsi="Times New Roman"/>
          <w:spacing w:val="-3"/>
        </w:rPr>
        <w:t xml:space="preserve"> </w:t>
      </w:r>
      <w:r w:rsidRPr="00ED2564">
        <w:rPr>
          <w:rFonts w:ascii="Times New Roman" w:hAnsi="Times New Roman"/>
          <w:spacing w:val="-3"/>
        </w:rPr>
        <w:t xml:space="preserve">It is important to note that the severity of injury or harm is not germane to a proximate cause finding.  </w:t>
      </w:r>
      <w:r w:rsidR="000C5CC1" w:rsidRPr="002118C9">
        <w:rPr>
          <w:rFonts w:ascii="Times New Roman" w:hAnsi="Times New Roman"/>
          <w:spacing w:val="-3"/>
        </w:rPr>
        <w:t>See also</w:t>
      </w:r>
      <w:r w:rsidR="000C5CC1" w:rsidRPr="00ED2564">
        <w:rPr>
          <w:rFonts w:ascii="Times New Roman" w:hAnsi="Times New Roman"/>
          <w:i/>
          <w:iCs/>
          <w:spacing w:val="-3"/>
        </w:rPr>
        <w:t xml:space="preserve"> </w:t>
      </w:r>
      <w:r w:rsidR="000C5CC1" w:rsidRPr="00ED2564">
        <w:rPr>
          <w:rFonts w:ascii="Times New Roman" w:hAnsi="Times New Roman"/>
          <w:i/>
          <w:spacing w:val="-3"/>
        </w:rPr>
        <w:t>S.H. v. K &amp; H Transp., Inc.</w:t>
      </w:r>
      <w:r w:rsidR="000C5CC1" w:rsidRPr="00ED2564">
        <w:rPr>
          <w:rFonts w:ascii="Times New Roman" w:hAnsi="Times New Roman"/>
          <w:iCs/>
          <w:spacing w:val="-3"/>
        </w:rPr>
        <w:t xml:space="preserve">, 465 </w:t>
      </w:r>
      <w:r w:rsidR="000C5CC1" w:rsidRPr="00ED2564">
        <w:rPr>
          <w:rFonts w:ascii="Times New Roman" w:hAnsi="Times New Roman"/>
          <w:i/>
          <w:spacing w:val="-3"/>
        </w:rPr>
        <w:t xml:space="preserve">N.J. Super. </w:t>
      </w:r>
      <w:r w:rsidR="000C5CC1" w:rsidRPr="00ED2564">
        <w:rPr>
          <w:rFonts w:ascii="Times New Roman" w:hAnsi="Times New Roman"/>
          <w:iCs/>
          <w:spacing w:val="-3"/>
        </w:rPr>
        <w:t>201 (App. Div. 2020) (reversing a trial court’s grant of summary judgment in favor of a bus company on the basis that it was not foreseeable that its negligence in failing to drop a mentally disabled teenage girl at her mother’s home as instructed would result in the girl being sexually assaulted).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AADEE" w14:textId="77777777" w:rsidR="00AB303F" w:rsidRDefault="00AB303F">
    <w:pPr>
      <w:pStyle w:val="Header"/>
      <w:rPr>
        <w:rFonts w:ascii="Times New Roman" w:hAnsi="Times New Roman"/>
        <w:b/>
        <w:smallCaps/>
        <w:spacing w:val="-3"/>
        <w:sz w:val="24"/>
      </w:rPr>
    </w:pPr>
    <w:r>
      <w:rPr>
        <w:rFonts w:ascii="Times New Roman" w:hAnsi="Times New Roman"/>
        <w:b/>
        <w:smallCaps/>
        <w:spacing w:val="-3"/>
        <w:sz w:val="24"/>
      </w:rPr>
      <w:t>Charge 7.13</w:t>
    </w:r>
  </w:p>
  <w:p w14:paraId="441F3AD5" w14:textId="77777777" w:rsidR="00AB303F" w:rsidRDefault="00AB303F">
    <w:pPr>
      <w:pStyle w:val="Head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361A0" w14:textId="5EA3C343" w:rsidR="00AB303F" w:rsidRPr="005D61FA" w:rsidRDefault="00AB303F">
    <w:pPr>
      <w:pStyle w:val="Heading1"/>
      <w:rPr>
        <w:rFonts w:ascii="Times New Roman Bold" w:hAnsi="Times New Roman Bold"/>
        <w:smallCaps w:val="0"/>
        <w:sz w:val="28"/>
        <w:szCs w:val="28"/>
      </w:rPr>
    </w:pPr>
    <w:r w:rsidRPr="005D61FA">
      <w:rPr>
        <w:sz w:val="28"/>
        <w:szCs w:val="28"/>
      </w:rPr>
      <w:tab/>
    </w:r>
    <w:r w:rsidRPr="005D61FA">
      <w:rPr>
        <w:rFonts w:ascii="Times New Roman Bold" w:hAnsi="Times New Roman Bold"/>
        <w:smallCaps w:val="0"/>
        <w:sz w:val="28"/>
        <w:szCs w:val="28"/>
      </w:rPr>
      <w:t>C</w:t>
    </w:r>
    <w:r w:rsidR="00C90E45" w:rsidRPr="005D61FA">
      <w:rPr>
        <w:rFonts w:ascii="Times New Roman Bold" w:hAnsi="Times New Roman Bold"/>
        <w:smallCaps w:val="0"/>
        <w:sz w:val="28"/>
        <w:szCs w:val="28"/>
      </w:rPr>
      <w:t>HARGE</w:t>
    </w:r>
    <w:r w:rsidR="00EC45B2" w:rsidRPr="005D61FA">
      <w:rPr>
        <w:rFonts w:ascii="Times New Roman Bold" w:hAnsi="Times New Roman Bold"/>
        <w:smallCaps w:val="0"/>
        <w:sz w:val="28"/>
        <w:szCs w:val="28"/>
      </w:rPr>
      <w:t xml:space="preserve"> </w:t>
    </w:r>
    <w:r w:rsidR="00802167">
      <w:rPr>
        <w:rFonts w:ascii="Times New Roman Bold" w:hAnsi="Times New Roman Bold"/>
        <w:smallCaps w:val="0"/>
        <w:sz w:val="28"/>
        <w:szCs w:val="28"/>
      </w:rPr>
      <w:t>6</w:t>
    </w:r>
    <w:r w:rsidRPr="005D61FA">
      <w:rPr>
        <w:rFonts w:ascii="Times New Roman Bold" w:hAnsi="Times New Roman Bold"/>
        <w:smallCaps w:val="0"/>
        <w:sz w:val="28"/>
        <w:szCs w:val="28"/>
      </w:rPr>
      <w:t xml:space="preserve">.13 </w:t>
    </w:r>
    <w:r w:rsidR="00C90E45" w:rsidRPr="005D61FA">
      <w:rPr>
        <w:rFonts w:ascii="Times New Roman Bold" w:hAnsi="Times New Roman Bold" w:hint="eastAsia"/>
        <w:smallCaps w:val="0"/>
        <w:sz w:val="28"/>
        <w:szCs w:val="28"/>
      </w:rPr>
      <w:t>—</w:t>
    </w:r>
    <w:r w:rsidRPr="005D61FA">
      <w:rPr>
        <w:rFonts w:ascii="Times New Roman Bold" w:hAnsi="Times New Roman Bold"/>
        <w:smallCaps w:val="0"/>
        <w:sz w:val="28"/>
        <w:szCs w:val="28"/>
      </w:rPr>
      <w:t xml:space="preserve"> Page </w:t>
    </w:r>
    <w:r w:rsidRPr="005D61FA">
      <w:rPr>
        <w:rFonts w:ascii="Times New Roman Bold" w:hAnsi="Times New Roman Bold"/>
        <w:smallCaps w:val="0"/>
        <w:sz w:val="28"/>
        <w:szCs w:val="28"/>
      </w:rPr>
      <w:fldChar w:fldCharType="begin"/>
    </w:r>
    <w:r w:rsidRPr="005D61FA">
      <w:rPr>
        <w:rFonts w:ascii="Times New Roman Bold" w:hAnsi="Times New Roman Bold"/>
        <w:smallCaps w:val="0"/>
        <w:sz w:val="28"/>
        <w:szCs w:val="28"/>
      </w:rPr>
      <w:instrText xml:space="preserve"> PAGE </w:instrText>
    </w:r>
    <w:r w:rsidRPr="005D61FA">
      <w:rPr>
        <w:rFonts w:ascii="Times New Roman Bold" w:hAnsi="Times New Roman Bold"/>
        <w:smallCaps w:val="0"/>
        <w:sz w:val="28"/>
        <w:szCs w:val="28"/>
      </w:rPr>
      <w:fldChar w:fldCharType="separate"/>
    </w:r>
    <w:r w:rsidR="00654385" w:rsidRPr="005D61FA">
      <w:rPr>
        <w:rFonts w:ascii="Times New Roman Bold" w:hAnsi="Times New Roman Bold"/>
        <w:smallCaps w:val="0"/>
        <w:noProof/>
        <w:sz w:val="28"/>
        <w:szCs w:val="28"/>
      </w:rPr>
      <w:t>2</w:t>
    </w:r>
    <w:r w:rsidRPr="005D61FA">
      <w:rPr>
        <w:rFonts w:ascii="Times New Roman Bold" w:hAnsi="Times New Roman Bold"/>
        <w:smallCaps w:val="0"/>
        <w:sz w:val="28"/>
        <w:szCs w:val="28"/>
      </w:rPr>
      <w:fldChar w:fldCharType="end"/>
    </w:r>
    <w:r w:rsidRPr="005D61FA">
      <w:rPr>
        <w:rFonts w:ascii="Times New Roman Bold" w:hAnsi="Times New Roman Bold"/>
        <w:smallCaps w:val="0"/>
        <w:sz w:val="28"/>
        <w:szCs w:val="28"/>
      </w:rPr>
      <w:t xml:space="preserve"> of </w:t>
    </w:r>
    <w:r w:rsidRPr="005D61FA">
      <w:rPr>
        <w:rFonts w:ascii="Times New Roman Bold" w:hAnsi="Times New Roman Bold"/>
        <w:smallCaps w:val="0"/>
        <w:sz w:val="28"/>
        <w:szCs w:val="28"/>
      </w:rPr>
      <w:fldChar w:fldCharType="begin"/>
    </w:r>
    <w:r w:rsidRPr="005D61FA">
      <w:rPr>
        <w:rFonts w:ascii="Times New Roman Bold" w:hAnsi="Times New Roman Bold"/>
        <w:smallCaps w:val="0"/>
        <w:sz w:val="28"/>
        <w:szCs w:val="28"/>
      </w:rPr>
      <w:instrText xml:space="preserve"> NUMPAGES </w:instrText>
    </w:r>
    <w:r w:rsidRPr="005D61FA">
      <w:rPr>
        <w:rFonts w:ascii="Times New Roman Bold" w:hAnsi="Times New Roman Bold"/>
        <w:smallCaps w:val="0"/>
        <w:sz w:val="28"/>
        <w:szCs w:val="28"/>
      </w:rPr>
      <w:fldChar w:fldCharType="separate"/>
    </w:r>
    <w:r w:rsidR="00654385" w:rsidRPr="005D61FA">
      <w:rPr>
        <w:rFonts w:ascii="Times New Roman Bold" w:hAnsi="Times New Roman Bold"/>
        <w:smallCaps w:val="0"/>
        <w:noProof/>
        <w:sz w:val="28"/>
        <w:szCs w:val="28"/>
      </w:rPr>
      <w:t>2</w:t>
    </w:r>
    <w:r w:rsidRPr="005D61FA">
      <w:rPr>
        <w:rFonts w:ascii="Times New Roman Bold" w:hAnsi="Times New Roman Bold"/>
        <w:smallCaps w:val="0"/>
        <w:sz w:val="28"/>
        <w:szCs w:val="28"/>
      </w:rPr>
      <w:fldChar w:fldCharType="end"/>
    </w:r>
  </w:p>
  <w:p w14:paraId="410518E8" w14:textId="77777777" w:rsidR="00AB303F" w:rsidRPr="005D61FA" w:rsidRDefault="00AB303F">
    <w:pPr>
      <w:jc w:val="right"/>
      <w:rPr>
        <w:rFonts w:ascii="Times New Roman" w:hAnsi="Times New Roman"/>
        <w:b/>
        <w:smallCaps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FF186" w14:textId="77777777" w:rsidR="00802167" w:rsidRDefault="008021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E5"/>
    <w:rsid w:val="00093DAE"/>
    <w:rsid w:val="000C5CC1"/>
    <w:rsid w:val="002118C9"/>
    <w:rsid w:val="002F6690"/>
    <w:rsid w:val="003D061D"/>
    <w:rsid w:val="004A7D3B"/>
    <w:rsid w:val="004F2AEF"/>
    <w:rsid w:val="005008C9"/>
    <w:rsid w:val="005D61FA"/>
    <w:rsid w:val="005F5F47"/>
    <w:rsid w:val="005F6D4C"/>
    <w:rsid w:val="00604915"/>
    <w:rsid w:val="00654385"/>
    <w:rsid w:val="006B2993"/>
    <w:rsid w:val="007E5E2C"/>
    <w:rsid w:val="00802167"/>
    <w:rsid w:val="009E7F5E"/>
    <w:rsid w:val="00AB303F"/>
    <w:rsid w:val="00BA56EC"/>
    <w:rsid w:val="00BE7AE5"/>
    <w:rsid w:val="00C27D95"/>
    <w:rsid w:val="00C90E45"/>
    <w:rsid w:val="00E516FE"/>
    <w:rsid w:val="00E9279C"/>
    <w:rsid w:val="00EC45B2"/>
    <w:rsid w:val="00ED2564"/>
    <w:rsid w:val="00E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94BA9"/>
  <w15:chartTrackingRefBased/>
  <w15:docId w15:val="{FAC7A6F7-00FC-4A86-95A0-C6CD14E9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Tiempo" w:hAnsi="Tiempo"/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b/>
      <w:smallCaps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pacing w:after="180"/>
      <w:jc w:val="center"/>
      <w:outlineLvl w:val="1"/>
    </w:pPr>
    <w:rPr>
      <w:rFonts w:ascii="Times New Roman" w:hAnsi="Times New Roman"/>
      <w:b/>
      <w:i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65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516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</vt:lpstr>
    </vt:vector>
  </TitlesOfParts>
  <Company>Shanley&amp;Fisher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Drinker Biddle &amp; Shanley, LLP</dc:creator>
  <cp:keywords/>
  <dc:description/>
  <cp:lastModifiedBy>Suvarna Sampale</cp:lastModifiedBy>
  <cp:revision>9</cp:revision>
  <cp:lastPrinted>2006-11-28T16:43:00Z</cp:lastPrinted>
  <dcterms:created xsi:type="dcterms:W3CDTF">2021-04-13T16:49:00Z</dcterms:created>
  <dcterms:modified xsi:type="dcterms:W3CDTF">2021-08-30T17:52:00Z</dcterms:modified>
</cp:coreProperties>
</file>