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34BBD" w14:textId="683A0E85" w:rsidR="00340A35" w:rsidRDefault="00C77626" w:rsidP="00B476E5">
      <w:pPr>
        <w:ind w:left="1440" w:hanging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6</w:t>
      </w:r>
      <w:r w:rsidR="00340A35">
        <w:rPr>
          <w:rFonts w:ascii="Times New Roman" w:hAnsi="Times New Roman"/>
          <w:b/>
          <w:spacing w:val="-3"/>
        </w:rPr>
        <w:t>.14</w:t>
      </w:r>
      <w:r w:rsidR="00340A35">
        <w:rPr>
          <w:rFonts w:ascii="Times New Roman" w:hAnsi="Times New Roman"/>
          <w:b/>
          <w:spacing w:val="-3"/>
        </w:rPr>
        <w:tab/>
        <w:t>PROXIMATE CAUSE — WHERE THERE IS CLAIM OF INTERVENING OR SUPERSEDING CAUSE FOR JURY’S CONSIDERATION</w:t>
      </w:r>
      <w:r>
        <w:rPr>
          <w:rFonts w:ascii="Times New Roman" w:hAnsi="Times New Roman"/>
          <w:b/>
          <w:spacing w:val="-3"/>
        </w:rPr>
        <w:t xml:space="preserve"> </w:t>
      </w:r>
      <w:r w:rsidR="00340A35">
        <w:rPr>
          <w:rFonts w:ascii="Times New Roman" w:hAnsi="Times New Roman"/>
          <w:spacing w:val="-3"/>
        </w:rPr>
        <w:t xml:space="preserve">(Approved </w:t>
      </w:r>
      <w:r w:rsidR="00B476E5">
        <w:rPr>
          <w:rFonts w:ascii="Times New Roman" w:hAnsi="Times New Roman"/>
          <w:spacing w:val="-3"/>
        </w:rPr>
        <w:t>0</w:t>
      </w:r>
      <w:r w:rsidR="00340A35">
        <w:rPr>
          <w:rFonts w:ascii="Times New Roman" w:hAnsi="Times New Roman"/>
          <w:spacing w:val="-3"/>
        </w:rPr>
        <w:t>8/</w:t>
      </w:r>
      <w:r w:rsidR="00B476E5">
        <w:rPr>
          <w:rFonts w:ascii="Times New Roman" w:hAnsi="Times New Roman"/>
          <w:spacing w:val="-3"/>
        </w:rPr>
        <w:t>19</w:t>
      </w:r>
      <w:r w:rsidR="00340A35">
        <w:rPr>
          <w:rFonts w:ascii="Times New Roman" w:hAnsi="Times New Roman"/>
          <w:spacing w:val="-3"/>
        </w:rPr>
        <w:t>99</w:t>
      </w:r>
      <w:r w:rsidR="00B476E5">
        <w:rPr>
          <w:rFonts w:ascii="Times New Roman" w:hAnsi="Times New Roman"/>
          <w:spacing w:val="-3"/>
        </w:rPr>
        <w:t>; Revised 0</w:t>
      </w:r>
      <w:r w:rsidR="00DA5E3E">
        <w:rPr>
          <w:rFonts w:ascii="Times New Roman" w:hAnsi="Times New Roman"/>
          <w:spacing w:val="-3"/>
        </w:rPr>
        <w:t>9</w:t>
      </w:r>
      <w:r w:rsidR="00B476E5">
        <w:rPr>
          <w:rFonts w:ascii="Times New Roman" w:hAnsi="Times New Roman"/>
          <w:spacing w:val="-3"/>
        </w:rPr>
        <w:t>/2021</w:t>
      </w:r>
      <w:r w:rsidR="00340A35">
        <w:rPr>
          <w:rFonts w:ascii="Times New Roman" w:hAnsi="Times New Roman"/>
          <w:spacing w:val="-3"/>
        </w:rPr>
        <w:t>)</w:t>
      </w:r>
    </w:p>
    <w:p w14:paraId="03CD6FA0" w14:textId="6A578E19" w:rsidR="00340A35" w:rsidRDefault="00340A35" w:rsidP="00B476E5">
      <w:pPr>
        <w:pStyle w:val="Heading2"/>
        <w:spacing w:after="0" w:line="240" w:lineRule="auto"/>
        <w:jc w:val="both"/>
      </w:pPr>
    </w:p>
    <w:p w14:paraId="3BF34A1F" w14:textId="77777777" w:rsidR="00B476E5" w:rsidRPr="00B476E5" w:rsidRDefault="00B476E5" w:rsidP="00B476E5">
      <w:pPr>
        <w:jc w:val="both"/>
      </w:pPr>
    </w:p>
    <w:p w14:paraId="7B3FF80E" w14:textId="77777777" w:rsidR="00340A35" w:rsidRPr="00804417" w:rsidRDefault="00340A35" w:rsidP="00B476E5">
      <w:pPr>
        <w:pStyle w:val="Heading2"/>
        <w:spacing w:after="0" w:line="240" w:lineRule="auto"/>
        <w:rPr>
          <w:rFonts w:ascii="Times New Roman Bold" w:hAnsi="Times New Roman Bold"/>
          <w:caps/>
          <w:szCs w:val="28"/>
        </w:rPr>
      </w:pPr>
      <w:r w:rsidRPr="00804417">
        <w:rPr>
          <w:rFonts w:ascii="Times New Roman Bold" w:hAnsi="Times New Roman Bold"/>
          <w:caps/>
          <w:szCs w:val="28"/>
        </w:rPr>
        <w:t>Note to Judge</w:t>
      </w:r>
    </w:p>
    <w:p w14:paraId="601C345C" w14:textId="77777777" w:rsidR="00340A35" w:rsidRDefault="00340A35" w:rsidP="00B476E5">
      <w:pPr>
        <w:jc w:val="both"/>
      </w:pPr>
    </w:p>
    <w:p w14:paraId="35119041" w14:textId="77777777" w:rsidR="00340A35" w:rsidRDefault="00340A35" w:rsidP="00B476E5">
      <w:pPr>
        <w:pStyle w:val="BodyTextIndent"/>
        <w:spacing w:after="0"/>
        <w:ind w:left="720" w:right="720" w:firstLine="0"/>
        <w:rPr>
          <w:sz w:val="28"/>
        </w:rPr>
      </w:pPr>
      <w:r>
        <w:rPr>
          <w:sz w:val="28"/>
        </w:rPr>
        <w:t>This charge should be given in conjunction with M</w:t>
      </w:r>
      <w:r w:rsidR="00DA26AE">
        <w:rPr>
          <w:sz w:val="28"/>
        </w:rPr>
        <w:t xml:space="preserve">odel Civil Charge </w:t>
      </w:r>
      <w:r w:rsidR="009F1EFE">
        <w:rPr>
          <w:sz w:val="28"/>
        </w:rPr>
        <w:t>6.12 or 6</w:t>
      </w:r>
      <w:r>
        <w:rPr>
          <w:sz w:val="28"/>
        </w:rPr>
        <w:t xml:space="preserve">.13 where there is also a jury question as to whether an intervening or superseding cause brought about the injury or harm.  </w:t>
      </w:r>
    </w:p>
    <w:p w14:paraId="7DD7D77D" w14:textId="77777777" w:rsidR="00340A35" w:rsidRDefault="00340A35" w:rsidP="00B476E5">
      <w:pPr>
        <w:pStyle w:val="BodyTextIndent"/>
        <w:spacing w:after="0"/>
        <w:ind w:left="720" w:right="720" w:firstLine="0"/>
        <w:rPr>
          <w:sz w:val="28"/>
        </w:rPr>
      </w:pPr>
    </w:p>
    <w:p w14:paraId="5C72DA5C" w14:textId="77777777" w:rsidR="00340A35" w:rsidRDefault="00340A35" w:rsidP="00B476E5">
      <w:pPr>
        <w:tabs>
          <w:tab w:val="left" w:pos="-720"/>
        </w:tabs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In this case, </w:t>
      </w:r>
      <w:r>
        <w:rPr>
          <w:rFonts w:ascii="Times New Roman" w:hAnsi="Times New Roman"/>
          <w:i/>
          <w:spacing w:val="-3"/>
        </w:rPr>
        <w:t>[name of defendant or other party]</w:t>
      </w:r>
      <w:r>
        <w:rPr>
          <w:rFonts w:ascii="Times New Roman" w:hAnsi="Times New Roman"/>
          <w:spacing w:val="-3"/>
        </w:rPr>
        <w:t xml:space="preserve"> claims that the accident/incident/event or plaintiff’s injury/loss/harm was caused by an independent intervening cause and, therefore, that </w:t>
      </w:r>
      <w:r>
        <w:rPr>
          <w:rFonts w:ascii="Times New Roman" w:hAnsi="Times New Roman"/>
          <w:i/>
          <w:spacing w:val="-3"/>
        </w:rPr>
        <w:t>[name of defendant or other party]</w:t>
      </w:r>
      <w:r>
        <w:rPr>
          <w:rFonts w:ascii="Times New Roman" w:hAnsi="Times New Roman"/>
          <w:spacing w:val="-3"/>
        </w:rPr>
        <w:t xml:space="preserve"> was not a contributing factor to the accident/incident/event or injury/loss/harm.  </w:t>
      </w:r>
    </w:p>
    <w:p w14:paraId="3D2FD051" w14:textId="2282A68F" w:rsidR="00340A35" w:rsidRDefault="00340A35" w:rsidP="00B476E5">
      <w:pPr>
        <w:tabs>
          <w:tab w:val="left" w:pos="-720"/>
        </w:tabs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An intervening cause is the act of an independent agency that destroys the causal connection between the defendant’s </w:t>
      </w:r>
      <w:r>
        <w:rPr>
          <w:rFonts w:ascii="Times New Roman" w:hAnsi="Times New Roman"/>
          <w:i/>
          <w:spacing w:val="-3"/>
        </w:rPr>
        <w:t>[or other party’s]</w:t>
      </w:r>
      <w:r>
        <w:rPr>
          <w:rFonts w:ascii="Times New Roman" w:hAnsi="Times New Roman"/>
          <w:spacing w:val="-3"/>
        </w:rPr>
        <w:t xml:space="preserve"> negligence and the accident/incident/event or injury/loss/harm.  To be an intervening cause</w:t>
      </w:r>
      <w:r w:rsidR="006356BB"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-3"/>
        </w:rPr>
        <w:t xml:space="preserve"> the independent act must be the immediate and sole cause of the accident/incident/event or injury/loss/harm.  The intervening cause must be one that so completely supersedes the operation of </w:t>
      </w:r>
      <w:r>
        <w:rPr>
          <w:rFonts w:ascii="Times New Roman" w:hAnsi="Times New Roman"/>
          <w:i/>
          <w:spacing w:val="-3"/>
        </w:rPr>
        <w:t>[name of defendant or other party]’s</w:t>
      </w:r>
      <w:r>
        <w:rPr>
          <w:rFonts w:ascii="Times New Roman" w:hAnsi="Times New Roman"/>
          <w:spacing w:val="-3"/>
        </w:rPr>
        <w:t xml:space="preserve"> negligence that you find that the intervening event caused the accident/incident/event or injury/loss/harm, without </w:t>
      </w:r>
      <w:r>
        <w:rPr>
          <w:rFonts w:ascii="Times New Roman" w:hAnsi="Times New Roman"/>
          <w:i/>
          <w:spacing w:val="-3"/>
        </w:rPr>
        <w:t>[name of defendant or other party]’s</w:t>
      </w:r>
      <w:r>
        <w:rPr>
          <w:rFonts w:ascii="Times New Roman" w:hAnsi="Times New Roman"/>
          <w:spacing w:val="-3"/>
        </w:rPr>
        <w:t xml:space="preserve"> negligence </w:t>
      </w:r>
      <w:r>
        <w:rPr>
          <w:rFonts w:ascii="Times New Roman" w:hAnsi="Times New Roman"/>
          <w:spacing w:val="-3"/>
        </w:rPr>
        <w:lastRenderedPageBreak/>
        <w:t>contributing to it in any material way.</w:t>
      </w:r>
      <w:r>
        <w:rPr>
          <w:rStyle w:val="FootnoteReference"/>
          <w:rFonts w:ascii="Times New Roman" w:hAnsi="Times New Roman"/>
          <w:spacing w:val="-3"/>
        </w:rPr>
        <w:footnoteReference w:id="1"/>
      </w:r>
      <w:r>
        <w:rPr>
          <w:rFonts w:ascii="Times New Roman" w:hAnsi="Times New Roman"/>
          <w:spacing w:val="-3"/>
        </w:rPr>
        <w:t xml:space="preserve">  In that case liability will not be established because </w:t>
      </w:r>
      <w:r>
        <w:rPr>
          <w:rFonts w:ascii="Times New Roman" w:hAnsi="Times New Roman"/>
          <w:i/>
          <w:spacing w:val="-3"/>
        </w:rPr>
        <w:t>[name of defendant or other party]’s</w:t>
      </w:r>
      <w:r>
        <w:rPr>
          <w:rFonts w:ascii="Times New Roman" w:hAnsi="Times New Roman"/>
          <w:spacing w:val="-3"/>
        </w:rPr>
        <w:t xml:space="preserve"> negligence is not a proximate cause of the accident/incident/event or injury/loss/harm.  </w:t>
      </w:r>
    </w:p>
    <w:p w14:paraId="6E57858B" w14:textId="59DCD3C8" w:rsidR="00340A35" w:rsidRDefault="00340A35" w:rsidP="00B476E5">
      <w:pPr>
        <w:tabs>
          <w:tab w:val="left" w:pos="-720"/>
        </w:tabs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However, </w:t>
      </w:r>
      <w:r>
        <w:rPr>
          <w:rFonts w:ascii="Times New Roman" w:hAnsi="Times New Roman"/>
          <w:i/>
          <w:spacing w:val="-3"/>
        </w:rPr>
        <w:t>[name of defendant or other party]</w:t>
      </w:r>
      <w:r>
        <w:rPr>
          <w:rFonts w:ascii="Times New Roman" w:hAnsi="Times New Roman"/>
          <w:spacing w:val="-3"/>
        </w:rPr>
        <w:t xml:space="preserve"> would not be relieved from liability for </w:t>
      </w:r>
      <w:r w:rsidR="00E65429">
        <w:rPr>
          <w:rFonts w:ascii="Times New Roman" w:hAnsi="Times New Roman"/>
          <w:spacing w:val="-3"/>
        </w:rPr>
        <w:t>n</w:t>
      </w:r>
      <w:r>
        <w:rPr>
          <w:rFonts w:ascii="Times New Roman" w:hAnsi="Times New Roman"/>
          <w:spacing w:val="-3"/>
        </w:rPr>
        <w:t xml:space="preserve">egligence by the intervention of acts of third </w:t>
      </w:r>
      <w:proofErr w:type="gramStart"/>
      <w:r>
        <w:rPr>
          <w:rFonts w:ascii="Times New Roman" w:hAnsi="Times New Roman"/>
          <w:spacing w:val="-3"/>
        </w:rPr>
        <w:t>persons, if</w:t>
      </w:r>
      <w:proofErr w:type="gramEnd"/>
      <w:r>
        <w:rPr>
          <w:rFonts w:ascii="Times New Roman" w:hAnsi="Times New Roman"/>
          <w:spacing w:val="-3"/>
        </w:rPr>
        <w:t xml:space="preserve"> those acts were reasonably foreseeable.  By that I mean, that the causal connection between </w:t>
      </w:r>
      <w:r>
        <w:rPr>
          <w:rFonts w:ascii="Times New Roman" w:hAnsi="Times New Roman"/>
          <w:i/>
          <w:spacing w:val="-3"/>
        </w:rPr>
        <w:t>[name of defendant or other party]’s</w:t>
      </w:r>
      <w:r>
        <w:rPr>
          <w:rFonts w:ascii="Times New Roman" w:hAnsi="Times New Roman"/>
          <w:spacing w:val="-3"/>
        </w:rPr>
        <w:t xml:space="preserve"> negligence and the accident/incident/event or injury/loss/harm is not broken if the intervening cause is one that might, in the natural and ordinary course of things, be anticipated as not entirely improbable.</w:t>
      </w:r>
      <w:r>
        <w:rPr>
          <w:rStyle w:val="FootnoteReference"/>
          <w:rFonts w:ascii="Times New Roman" w:hAnsi="Times New Roman"/>
          <w:spacing w:val="-3"/>
        </w:rPr>
        <w:footnoteReference w:id="2"/>
      </w:r>
      <w:r>
        <w:rPr>
          <w:rFonts w:ascii="Times New Roman" w:hAnsi="Times New Roman"/>
          <w:spacing w:val="-3"/>
        </w:rPr>
        <w:t xml:space="preserve">  Where the intervention of third parties is reasonably foreseeable, then there still may be a causal connection between the defendant’s </w:t>
      </w:r>
      <w:r>
        <w:rPr>
          <w:rFonts w:ascii="Times New Roman" w:hAnsi="Times New Roman"/>
          <w:i/>
          <w:spacing w:val="-3"/>
        </w:rPr>
        <w:t>[or other party’s]</w:t>
      </w:r>
      <w:r>
        <w:rPr>
          <w:rFonts w:ascii="Times New Roman" w:hAnsi="Times New Roman"/>
          <w:spacing w:val="-3"/>
        </w:rPr>
        <w:t xml:space="preserve"> negligence and the accident/incident/event or injury/loss/harm.  The fact that there were intervening causes that were foreseeable or that were normal incidents of the risk created does not relieve the defendant of liability.</w:t>
      </w:r>
      <w:r>
        <w:rPr>
          <w:rStyle w:val="FootnoteReference"/>
          <w:rFonts w:ascii="Times New Roman" w:hAnsi="Times New Roman"/>
          <w:spacing w:val="-3"/>
        </w:rPr>
        <w:footnoteReference w:id="3"/>
      </w:r>
      <w:r>
        <w:rPr>
          <w:rFonts w:ascii="Times New Roman" w:hAnsi="Times New Roman"/>
          <w:spacing w:val="-3"/>
        </w:rPr>
        <w:t xml:space="preserve">  </w:t>
      </w:r>
    </w:p>
    <w:p w14:paraId="2EAB28B2" w14:textId="77777777" w:rsidR="00340A35" w:rsidRDefault="00340A35" w:rsidP="00B476E5">
      <w:pPr>
        <w:spacing w:line="480" w:lineRule="auto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br w:type="page"/>
      </w:r>
      <w:r>
        <w:rPr>
          <w:rFonts w:ascii="Times New Roman" w:hAnsi="Times New Roman"/>
          <w:spacing w:val="-3"/>
        </w:rPr>
        <w:lastRenderedPageBreak/>
        <w:tab/>
        <w:t xml:space="preserve">You must determine whether the alleged intervening cause was an intervening cause that destroyed the substantial causal connection between the defendant’s negligent actions (or omissions) and the accident/incident/event or injury/loss/harm.  If it did, then </w:t>
      </w:r>
      <w:r>
        <w:rPr>
          <w:rFonts w:ascii="Times New Roman" w:hAnsi="Times New Roman"/>
          <w:i/>
          <w:spacing w:val="-3"/>
        </w:rPr>
        <w:t>[name of defendant or other party]’s</w:t>
      </w:r>
      <w:r>
        <w:rPr>
          <w:rFonts w:ascii="Times New Roman" w:hAnsi="Times New Roman"/>
          <w:spacing w:val="-3"/>
        </w:rPr>
        <w:t xml:space="preserve"> negligence was not a proximate cause of the accident/incident/event or injury/loss/harm.</w:t>
      </w:r>
    </w:p>
    <w:sectPr w:rsidR="00340A35" w:rsidSect="00B476E5">
      <w:headerReference w:type="even" r:id="rId6"/>
      <w:headerReference w:type="default" r:id="rId7"/>
      <w:footerReference w:type="even" r:id="rId8"/>
      <w:endnotePr>
        <w:numFmt w:val="decimal"/>
      </w:endnotePr>
      <w:type w:val="continuous"/>
      <w:pgSz w:w="12240" w:h="15840" w:code="1"/>
      <w:pgMar w:top="1008" w:right="1440" w:bottom="1440" w:left="1440" w:header="1440" w:footer="1440" w:gutter="28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F6F22" w14:textId="77777777" w:rsidR="007044D9" w:rsidRDefault="007044D9">
      <w:pPr>
        <w:widowControl/>
        <w:spacing w:line="20" w:lineRule="exact"/>
        <w:rPr>
          <w:sz w:val="24"/>
        </w:rPr>
      </w:pPr>
    </w:p>
  </w:endnote>
  <w:endnote w:type="continuationSeparator" w:id="0">
    <w:p w14:paraId="45E8D5C7" w14:textId="77777777" w:rsidR="007044D9" w:rsidRDefault="007044D9">
      <w:r>
        <w:rPr>
          <w:sz w:val="24"/>
        </w:rPr>
        <w:t xml:space="preserve"> </w:t>
      </w:r>
    </w:p>
  </w:endnote>
  <w:endnote w:type="continuationNotice" w:id="1">
    <w:p w14:paraId="022DAE68" w14:textId="77777777" w:rsidR="007044D9" w:rsidRDefault="007044D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727D8" w14:textId="77777777" w:rsidR="00F82EFE" w:rsidRDefault="00F82EFE">
    <w:pPr>
      <w:pStyle w:val="Footer"/>
      <w:rPr>
        <w:rFonts w:ascii="Times New Roman" w:hAnsi="Times New Roman"/>
        <w:b/>
        <w:sz w:val="24"/>
      </w:rPr>
    </w:pPr>
    <w:r>
      <w:rPr>
        <w:rStyle w:val="PageNumber"/>
        <w:rFonts w:ascii="Times New Roman" w:hAnsi="Times New Roman"/>
        <w:b/>
        <w:sz w:val="24"/>
      </w:rPr>
      <w:t>7.14-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PAGE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>
      <w:rPr>
        <w:rStyle w:val="PageNumber"/>
        <w:rFonts w:ascii="Times New Roman" w:hAnsi="Times New Roman"/>
        <w:b/>
        <w:noProof/>
        <w:sz w:val="24"/>
      </w:rPr>
      <w:t>2</w:t>
    </w:r>
    <w:r>
      <w:rPr>
        <w:rStyle w:val="PageNumber"/>
        <w:rFonts w:ascii="Times New Roman" w:hAnsi="Times New Roman"/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51099" w14:textId="77777777" w:rsidR="007044D9" w:rsidRDefault="007044D9">
      <w:r>
        <w:rPr>
          <w:sz w:val="24"/>
        </w:rPr>
        <w:separator/>
      </w:r>
    </w:p>
  </w:footnote>
  <w:footnote w:type="continuationSeparator" w:id="0">
    <w:p w14:paraId="5DB4C23F" w14:textId="77777777" w:rsidR="007044D9" w:rsidRDefault="007044D9">
      <w:r>
        <w:continuationSeparator/>
      </w:r>
    </w:p>
  </w:footnote>
  <w:footnote w:id="1">
    <w:p w14:paraId="6D90F622" w14:textId="5A7F3BB2" w:rsidR="00F82EFE" w:rsidRDefault="00F82EFE" w:rsidP="00B476E5">
      <w:pPr>
        <w:pStyle w:val="FootnoteText"/>
        <w:tabs>
          <w:tab w:val="left" w:pos="180"/>
        </w:tabs>
        <w:jc w:val="both"/>
        <w:rPr>
          <w:rFonts w:ascii="Times New Roman" w:hAnsi="Times New Roman"/>
          <w:spacing w:val="-3"/>
        </w:rPr>
      </w:pPr>
      <w:r>
        <w:rPr>
          <w:rStyle w:val="FootnoteReference"/>
          <w:rFonts w:ascii="Times New Roman" w:hAnsi="Times New Roman"/>
          <w:spacing w:val="-3"/>
        </w:rPr>
        <w:footnoteRef/>
      </w:r>
      <w:r w:rsidR="002E4339">
        <w:rPr>
          <w:rFonts w:ascii="Times New Roman" w:hAnsi="Times New Roman"/>
          <w:i/>
          <w:spacing w:val="-3"/>
        </w:rPr>
        <w:t xml:space="preserve"> </w:t>
      </w:r>
      <w:r w:rsidR="002E4339"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i/>
          <w:spacing w:val="-3"/>
        </w:rPr>
        <w:t>Davis v. Brooks,</w:t>
      </w:r>
      <w:r>
        <w:rPr>
          <w:rFonts w:ascii="Times New Roman" w:hAnsi="Times New Roman"/>
          <w:spacing w:val="-3"/>
        </w:rPr>
        <w:t xml:space="preserve"> 280 </w:t>
      </w:r>
      <w:r>
        <w:rPr>
          <w:rFonts w:ascii="Times New Roman" w:hAnsi="Times New Roman"/>
          <w:i/>
          <w:spacing w:val="-3"/>
        </w:rPr>
        <w:t>N.J. Super.</w:t>
      </w:r>
      <w:r>
        <w:rPr>
          <w:rFonts w:ascii="Times New Roman" w:hAnsi="Times New Roman"/>
          <w:spacing w:val="-3"/>
        </w:rPr>
        <w:t xml:space="preserve"> 406, 412 (App. Div. 1993).  </w:t>
      </w:r>
    </w:p>
  </w:footnote>
  <w:footnote w:id="2">
    <w:p w14:paraId="6D3F7A39" w14:textId="5E21F2A7" w:rsidR="00F82EFE" w:rsidRPr="002E4339" w:rsidRDefault="00F82EFE" w:rsidP="00B476E5">
      <w:pPr>
        <w:pStyle w:val="FootnoteText"/>
        <w:tabs>
          <w:tab w:val="left" w:pos="180"/>
        </w:tabs>
        <w:jc w:val="both"/>
        <w:rPr>
          <w:rFonts w:ascii="Times New Roman" w:hAnsi="Times New Roman"/>
          <w:i/>
          <w:iCs/>
          <w:spacing w:val="-3"/>
        </w:rPr>
      </w:pPr>
      <w:r>
        <w:rPr>
          <w:rStyle w:val="FootnoteReference"/>
          <w:rFonts w:ascii="Times New Roman" w:hAnsi="Times New Roman"/>
          <w:spacing w:val="-3"/>
        </w:rPr>
        <w:footnoteRef/>
      </w:r>
      <w:r w:rsidR="002E4339">
        <w:rPr>
          <w:rFonts w:ascii="Times New Roman" w:hAnsi="Times New Roman"/>
          <w:i/>
          <w:spacing w:val="-3"/>
        </w:rPr>
        <w:t xml:space="preserve"> </w:t>
      </w:r>
      <w:r w:rsidR="002E4339"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i/>
          <w:spacing w:val="-3"/>
        </w:rPr>
        <w:t>Id.</w:t>
      </w:r>
      <w:r>
        <w:rPr>
          <w:rFonts w:ascii="Times New Roman" w:hAnsi="Times New Roman"/>
          <w:spacing w:val="-3"/>
        </w:rPr>
        <w:t xml:space="preserve">  </w:t>
      </w:r>
      <w:r w:rsidR="00B94E1E" w:rsidRPr="00E65429">
        <w:rPr>
          <w:rFonts w:ascii="Times New Roman" w:hAnsi="Times New Roman"/>
          <w:spacing w:val="-3"/>
        </w:rPr>
        <w:t>See also</w:t>
      </w:r>
      <w:r w:rsidR="00B94E1E">
        <w:rPr>
          <w:rFonts w:ascii="Times New Roman" w:hAnsi="Times New Roman"/>
          <w:i/>
          <w:iCs/>
          <w:spacing w:val="-3"/>
        </w:rPr>
        <w:t xml:space="preserve"> </w:t>
      </w:r>
      <w:r w:rsidR="00B94E1E">
        <w:rPr>
          <w:i/>
          <w:spacing w:val="-3"/>
        </w:rPr>
        <w:t>S.H. v. K &amp; H Transp., Inc.</w:t>
      </w:r>
      <w:r w:rsidR="00B94E1E">
        <w:rPr>
          <w:iCs/>
          <w:spacing w:val="-3"/>
        </w:rPr>
        <w:t xml:space="preserve">, 465 </w:t>
      </w:r>
      <w:r w:rsidR="00B94E1E" w:rsidRPr="002E4339">
        <w:rPr>
          <w:i/>
          <w:spacing w:val="-3"/>
        </w:rPr>
        <w:t>N.J. Super.</w:t>
      </w:r>
      <w:r w:rsidR="00B94E1E">
        <w:rPr>
          <w:iCs/>
          <w:spacing w:val="-3"/>
        </w:rPr>
        <w:t xml:space="preserve"> 201 (App. Div. 2020) (reversing a trial court’s grant of summary judgment in favor of a bus company on the basis that it was not foreseeable that its negligence in failing to drop a mentally disabled teenage girl at her mother’s home as instructed would result in the girl being sexually assaulted). </w:t>
      </w:r>
      <w:r w:rsidR="00B94E1E">
        <w:rPr>
          <w:i/>
          <w:spacing w:val="-3"/>
        </w:rPr>
        <w:t xml:space="preserve"> </w:t>
      </w:r>
    </w:p>
  </w:footnote>
  <w:footnote w:id="3">
    <w:p w14:paraId="3740D0EC" w14:textId="0D1DD975" w:rsidR="00F82EFE" w:rsidRDefault="00F82EFE" w:rsidP="00B476E5">
      <w:pPr>
        <w:pStyle w:val="FootnoteText"/>
        <w:tabs>
          <w:tab w:val="left" w:pos="180"/>
        </w:tabs>
        <w:jc w:val="both"/>
        <w:rPr>
          <w:rFonts w:ascii="Times New Roman" w:hAnsi="Times New Roman"/>
          <w:spacing w:val="-3"/>
        </w:rPr>
      </w:pPr>
      <w:r>
        <w:rPr>
          <w:rStyle w:val="FootnoteReference"/>
          <w:rFonts w:ascii="Times New Roman" w:hAnsi="Times New Roman"/>
          <w:spacing w:val="-3"/>
        </w:rPr>
        <w:footnoteRef/>
      </w:r>
      <w:r w:rsidR="002E4339">
        <w:rPr>
          <w:rFonts w:ascii="Times New Roman" w:hAnsi="Times New Roman"/>
          <w:i/>
          <w:spacing w:val="-3"/>
        </w:rPr>
        <w:t xml:space="preserve"> </w:t>
      </w:r>
      <w:r w:rsidR="002E4339">
        <w:rPr>
          <w:rFonts w:ascii="Times New Roman" w:hAnsi="Times New Roman"/>
          <w:i/>
          <w:spacing w:val="-3"/>
        </w:rPr>
        <w:tab/>
      </w:r>
      <w:r>
        <w:rPr>
          <w:rFonts w:ascii="Times New Roman" w:hAnsi="Times New Roman"/>
          <w:i/>
          <w:spacing w:val="-3"/>
        </w:rPr>
        <w:t>Rappaport v. Nichols,</w:t>
      </w:r>
      <w:r>
        <w:rPr>
          <w:rFonts w:ascii="Times New Roman" w:hAnsi="Times New Roman"/>
          <w:spacing w:val="-3"/>
        </w:rPr>
        <w:t xml:space="preserve"> 31 </w:t>
      </w:r>
      <w:r>
        <w:rPr>
          <w:rFonts w:ascii="Times New Roman" w:hAnsi="Times New Roman"/>
          <w:i/>
          <w:spacing w:val="-3"/>
        </w:rPr>
        <w:t>N.J.</w:t>
      </w:r>
      <w:r>
        <w:rPr>
          <w:rFonts w:ascii="Times New Roman" w:hAnsi="Times New Roman"/>
          <w:spacing w:val="-3"/>
        </w:rPr>
        <w:t xml:space="preserve"> </w:t>
      </w:r>
      <w:r w:rsidR="00B476E5">
        <w:rPr>
          <w:rFonts w:ascii="Times New Roman" w:hAnsi="Times New Roman"/>
          <w:spacing w:val="-3"/>
        </w:rPr>
        <w:t xml:space="preserve">188, </w:t>
      </w:r>
      <w:r>
        <w:rPr>
          <w:rFonts w:ascii="Times New Roman" w:hAnsi="Times New Roman"/>
          <w:spacing w:val="-3"/>
        </w:rPr>
        <w:t>203</w:t>
      </w:r>
      <w:r w:rsidR="00B476E5">
        <w:rPr>
          <w:rFonts w:ascii="Times New Roman" w:hAnsi="Times New Roman"/>
          <w:spacing w:val="-3"/>
        </w:rPr>
        <w:t xml:space="preserve"> (1959)</w:t>
      </w:r>
      <w:r>
        <w:rPr>
          <w:rFonts w:ascii="Times New Roman" w:hAnsi="Times New Roman"/>
          <w:spacing w:val="-3"/>
        </w:rPr>
        <w:t xml:space="preserve">; </w:t>
      </w:r>
      <w:r>
        <w:rPr>
          <w:rFonts w:ascii="Times New Roman" w:hAnsi="Times New Roman"/>
          <w:i/>
          <w:spacing w:val="-3"/>
        </w:rPr>
        <w:t>Cruz-Mendez v. ISU,</w:t>
      </w:r>
      <w:r>
        <w:rPr>
          <w:rFonts w:ascii="Times New Roman" w:hAnsi="Times New Roman"/>
          <w:spacing w:val="-3"/>
        </w:rPr>
        <w:t xml:space="preserve"> 156 </w:t>
      </w:r>
      <w:r>
        <w:rPr>
          <w:rFonts w:ascii="Times New Roman" w:hAnsi="Times New Roman"/>
          <w:i/>
          <w:spacing w:val="-3"/>
        </w:rPr>
        <w:t>N.J.</w:t>
      </w:r>
      <w:r>
        <w:rPr>
          <w:rFonts w:ascii="Times New Roman" w:hAnsi="Times New Roman"/>
          <w:spacing w:val="-3"/>
        </w:rPr>
        <w:t xml:space="preserve"> 556 (1999).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07B6C" w14:textId="77777777" w:rsidR="00F82EFE" w:rsidRDefault="00F82EFE">
    <w:pPr>
      <w:pStyle w:val="Header"/>
      <w:rPr>
        <w:rFonts w:ascii="Times New Roman" w:hAnsi="Times New Roman"/>
        <w:b/>
        <w:smallCaps/>
        <w:sz w:val="24"/>
      </w:rPr>
    </w:pPr>
    <w:r>
      <w:rPr>
        <w:rFonts w:ascii="Times New Roman" w:hAnsi="Times New Roman"/>
        <w:b/>
        <w:smallCaps/>
        <w:sz w:val="24"/>
      </w:rPr>
      <w:t>Charge 7.14</w:t>
    </w:r>
  </w:p>
  <w:p w14:paraId="725BC3FC" w14:textId="77777777" w:rsidR="00F82EFE" w:rsidRDefault="00F82EFE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A092D" w14:textId="16A0168F" w:rsidR="00F82EFE" w:rsidRDefault="00F82EFE" w:rsidP="00B476E5">
    <w:pPr>
      <w:jc w:val="right"/>
      <w:rPr>
        <w:rFonts w:ascii="Times New Roman Bold" w:hAnsi="Times New Roman Bold"/>
        <w:b/>
        <w:bCs/>
      </w:rPr>
    </w:pPr>
    <w:r>
      <w:tab/>
    </w:r>
    <w:r w:rsidR="00B476E5" w:rsidRPr="00B476E5">
      <w:rPr>
        <w:rFonts w:ascii="Times New Roman Bold" w:hAnsi="Times New Roman Bold"/>
        <w:b/>
        <w:bCs/>
        <w:szCs w:val="28"/>
      </w:rPr>
      <w:t>CHARGE</w:t>
    </w:r>
    <w:r w:rsidR="00B476E5" w:rsidRPr="00B476E5">
      <w:rPr>
        <w:rFonts w:ascii="Times New Roman Bold" w:hAnsi="Times New Roman Bold"/>
        <w:b/>
        <w:bCs/>
      </w:rPr>
      <w:t xml:space="preserve"> 6.14 — </w:t>
    </w:r>
    <w:r w:rsidR="00B476E5" w:rsidRPr="00B476E5">
      <w:rPr>
        <w:rFonts w:ascii="Times New Roman Bold" w:hAnsi="Times New Roman Bold"/>
        <w:b/>
        <w:bCs/>
        <w:szCs w:val="28"/>
      </w:rPr>
      <w:t xml:space="preserve">PAGE </w:t>
    </w:r>
    <w:r w:rsidRPr="00B476E5">
      <w:rPr>
        <w:rFonts w:ascii="Times New Roman Bold" w:hAnsi="Times New Roman Bold"/>
        <w:b/>
        <w:bCs/>
      </w:rPr>
      <w:fldChar w:fldCharType="begin"/>
    </w:r>
    <w:r w:rsidRPr="00B476E5">
      <w:rPr>
        <w:rFonts w:ascii="Times New Roman Bold" w:hAnsi="Times New Roman Bold"/>
        <w:b/>
        <w:bCs/>
      </w:rPr>
      <w:instrText xml:space="preserve"> PAGE </w:instrText>
    </w:r>
    <w:r w:rsidRPr="00B476E5">
      <w:rPr>
        <w:rFonts w:ascii="Times New Roman Bold" w:hAnsi="Times New Roman Bold"/>
        <w:b/>
        <w:bCs/>
      </w:rPr>
      <w:fldChar w:fldCharType="separate"/>
    </w:r>
    <w:r w:rsidR="00B476E5" w:rsidRPr="00B476E5">
      <w:rPr>
        <w:rFonts w:ascii="Times New Roman Bold" w:hAnsi="Times New Roman Bold"/>
        <w:b/>
        <w:bCs/>
        <w:noProof/>
      </w:rPr>
      <w:t>1</w:t>
    </w:r>
    <w:r w:rsidRPr="00B476E5">
      <w:rPr>
        <w:rFonts w:ascii="Times New Roman Bold" w:hAnsi="Times New Roman Bold"/>
        <w:b/>
        <w:bCs/>
      </w:rPr>
      <w:fldChar w:fldCharType="end"/>
    </w:r>
    <w:r w:rsidR="00B476E5" w:rsidRPr="00B476E5">
      <w:rPr>
        <w:rFonts w:ascii="Times New Roman Bold" w:hAnsi="Times New Roman Bold"/>
        <w:b/>
        <w:bCs/>
      </w:rPr>
      <w:t xml:space="preserve"> </w:t>
    </w:r>
    <w:r w:rsidR="00B476E5" w:rsidRPr="00B476E5">
      <w:rPr>
        <w:rFonts w:ascii="Times New Roman Bold" w:hAnsi="Times New Roman Bold"/>
        <w:b/>
        <w:bCs/>
        <w:szCs w:val="28"/>
      </w:rPr>
      <w:t>OF</w:t>
    </w:r>
    <w:r w:rsidR="00B476E5" w:rsidRPr="00B476E5">
      <w:rPr>
        <w:rFonts w:ascii="Times New Roman Bold" w:hAnsi="Times New Roman Bold"/>
        <w:b/>
        <w:bCs/>
      </w:rPr>
      <w:t xml:space="preserve"> </w:t>
    </w:r>
    <w:r w:rsidRPr="00B476E5">
      <w:rPr>
        <w:rFonts w:ascii="Times New Roman Bold" w:hAnsi="Times New Roman Bold"/>
        <w:b/>
        <w:bCs/>
      </w:rPr>
      <w:fldChar w:fldCharType="begin"/>
    </w:r>
    <w:r w:rsidRPr="00B476E5">
      <w:rPr>
        <w:rFonts w:ascii="Times New Roman Bold" w:hAnsi="Times New Roman Bold"/>
        <w:b/>
        <w:bCs/>
      </w:rPr>
      <w:instrText xml:space="preserve"> NUMPAGES </w:instrText>
    </w:r>
    <w:r w:rsidRPr="00B476E5">
      <w:rPr>
        <w:rFonts w:ascii="Times New Roman Bold" w:hAnsi="Times New Roman Bold"/>
        <w:b/>
        <w:bCs/>
      </w:rPr>
      <w:fldChar w:fldCharType="separate"/>
    </w:r>
    <w:r w:rsidR="00B476E5" w:rsidRPr="00B476E5">
      <w:rPr>
        <w:rFonts w:ascii="Times New Roman Bold" w:hAnsi="Times New Roman Bold"/>
        <w:b/>
        <w:bCs/>
        <w:noProof/>
      </w:rPr>
      <w:t>3</w:t>
    </w:r>
    <w:r w:rsidRPr="00B476E5">
      <w:rPr>
        <w:rFonts w:ascii="Times New Roman Bold" w:hAnsi="Times New Roman Bold"/>
        <w:b/>
        <w:bCs/>
      </w:rPr>
      <w:fldChar w:fldCharType="end"/>
    </w:r>
  </w:p>
  <w:p w14:paraId="168E36A8" w14:textId="77777777" w:rsidR="00B476E5" w:rsidRPr="00B476E5" w:rsidRDefault="00B476E5" w:rsidP="00B476E5">
    <w:pPr>
      <w:jc w:val="right"/>
      <w:rPr>
        <w:rFonts w:ascii="Times New Roman Bold" w:hAnsi="Times New Roman Bold"/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9B"/>
    <w:rsid w:val="001319E7"/>
    <w:rsid w:val="002E4339"/>
    <w:rsid w:val="00340A35"/>
    <w:rsid w:val="003F1190"/>
    <w:rsid w:val="00497F66"/>
    <w:rsid w:val="004F0469"/>
    <w:rsid w:val="006156E4"/>
    <w:rsid w:val="006356BB"/>
    <w:rsid w:val="007044D9"/>
    <w:rsid w:val="00791A6D"/>
    <w:rsid w:val="00793A96"/>
    <w:rsid w:val="00804417"/>
    <w:rsid w:val="008D679B"/>
    <w:rsid w:val="00946763"/>
    <w:rsid w:val="009B109C"/>
    <w:rsid w:val="009B247E"/>
    <w:rsid w:val="009F1EFE"/>
    <w:rsid w:val="00AC3F3F"/>
    <w:rsid w:val="00AD52E1"/>
    <w:rsid w:val="00AE056A"/>
    <w:rsid w:val="00B476E5"/>
    <w:rsid w:val="00B503D6"/>
    <w:rsid w:val="00B94E1E"/>
    <w:rsid w:val="00C77626"/>
    <w:rsid w:val="00C927B0"/>
    <w:rsid w:val="00DA26AE"/>
    <w:rsid w:val="00DA5E3E"/>
    <w:rsid w:val="00E65429"/>
    <w:rsid w:val="00F57FA0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A6DD99"/>
  <w15:chartTrackingRefBased/>
  <w15:docId w15:val="{EA55BC6F-6C2F-45E9-AB81-FD7A94E7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empo" w:hAnsi="Tiempo"/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smallCaps/>
      <w:spacing w:val="-3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pacing w:after="180" w:line="480" w:lineRule="auto"/>
      <w:jc w:val="center"/>
      <w:outlineLvl w:val="1"/>
    </w:pPr>
    <w:rPr>
      <w:rFonts w:ascii="Times New Roman" w:hAnsi="Times New Roman"/>
      <w:b/>
      <w:i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pacing w:after="180"/>
      <w:ind w:hanging="720"/>
      <w:jc w:val="both"/>
    </w:pPr>
    <w:rPr>
      <w:rFonts w:ascii="Times New Roman" w:hAnsi="Times New Roman"/>
      <w:spacing w:val="-3"/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F8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400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Shanley&amp;Fisher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Drinker Biddle &amp; Shanley, LLP</dc:creator>
  <cp:keywords/>
  <dc:description/>
  <cp:lastModifiedBy>Suvarna Sampale</cp:lastModifiedBy>
  <cp:revision>5</cp:revision>
  <cp:lastPrinted>2006-11-28T16:44:00Z</cp:lastPrinted>
  <dcterms:created xsi:type="dcterms:W3CDTF">2021-04-13T19:14:00Z</dcterms:created>
  <dcterms:modified xsi:type="dcterms:W3CDTF">2021-08-30T17:52:00Z</dcterms:modified>
</cp:coreProperties>
</file>