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E4" w:rsidRDefault="00E1355B" w:rsidP="00A12B3E">
      <w:pPr>
        <w:tabs>
          <w:tab w:val="left" w:pos="-720"/>
          <w:tab w:val="left" w:pos="0"/>
          <w:tab w:val="left" w:pos="720"/>
        </w:tabs>
        <w:spacing w:line="480" w:lineRule="auto"/>
        <w:ind w:left="1440" w:hanging="1440"/>
        <w:jc w:val="both"/>
        <w:rPr>
          <w:rFonts w:ascii="Times New Roman" w:hAnsi="Times New Roman"/>
          <w:spacing w:val="-3"/>
        </w:rPr>
      </w:pPr>
      <w:r>
        <w:rPr>
          <w:rFonts w:ascii="Times New Roman" w:hAnsi="Times New Roman"/>
          <w:b/>
          <w:bCs/>
          <w:spacing w:val="-3"/>
        </w:rPr>
        <w:t>8</w:t>
      </w:r>
      <w:r w:rsidR="00FF49E4">
        <w:rPr>
          <w:rFonts w:ascii="Times New Roman" w:hAnsi="Times New Roman"/>
          <w:b/>
          <w:bCs/>
          <w:spacing w:val="-3"/>
        </w:rPr>
        <w:t>.11</w:t>
      </w:r>
      <w:r w:rsidR="00FF49E4">
        <w:rPr>
          <w:rFonts w:ascii="Times New Roman" w:hAnsi="Times New Roman"/>
          <w:b/>
          <w:bCs/>
          <w:spacing w:val="-3"/>
        </w:rPr>
        <w:tab/>
      </w:r>
      <w:r w:rsidR="00FF49E4">
        <w:rPr>
          <w:rFonts w:ascii="Times New Roman" w:hAnsi="Times New Roman"/>
          <w:b/>
          <w:bCs/>
          <w:spacing w:val="-3"/>
        </w:rPr>
        <w:tab/>
        <w:t>DAMAGES</w:t>
      </w:r>
      <w:r>
        <w:rPr>
          <w:rFonts w:ascii="Times New Roman" w:hAnsi="Times New Roman"/>
          <w:b/>
          <w:bCs/>
          <w:spacing w:val="-3"/>
        </w:rPr>
        <w:t xml:space="preserve"> CHARGES</w:t>
      </w:r>
      <w:r w:rsidR="00FF49E4">
        <w:rPr>
          <w:rFonts w:ascii="Times New Roman" w:hAnsi="Times New Roman"/>
          <w:b/>
          <w:bCs/>
          <w:spacing w:val="-3"/>
        </w:rPr>
        <w:t xml:space="preserve"> — </w:t>
      </w:r>
      <w:r>
        <w:rPr>
          <w:rFonts w:ascii="Times New Roman" w:hAnsi="Times New Roman"/>
          <w:b/>
          <w:bCs/>
          <w:spacing w:val="-3"/>
        </w:rPr>
        <w:t>GENERAL</w:t>
      </w:r>
    </w:p>
    <w:p w:rsidR="00FF49E4" w:rsidRDefault="00E1355B" w:rsidP="00C5711A">
      <w:pPr>
        <w:tabs>
          <w:tab w:val="left" w:pos="-720"/>
          <w:tab w:val="left" w:pos="0"/>
          <w:tab w:val="left" w:pos="720"/>
        </w:tabs>
        <w:spacing w:line="480" w:lineRule="auto"/>
        <w:ind w:left="1440" w:hanging="1440"/>
        <w:jc w:val="both"/>
        <w:rPr>
          <w:rFonts w:ascii="Times New Roman" w:hAnsi="Times New Roman"/>
          <w:spacing w:val="-3"/>
        </w:rPr>
      </w:pPr>
      <w:r>
        <w:rPr>
          <w:rFonts w:ascii="Times New Roman" w:hAnsi="Times New Roman"/>
          <w:b/>
          <w:bCs/>
          <w:spacing w:val="-3"/>
        </w:rPr>
        <w:tab/>
        <w:t>G</w:t>
      </w:r>
      <w:r w:rsidR="00FF49E4">
        <w:rPr>
          <w:rFonts w:ascii="Times New Roman" w:hAnsi="Times New Roman"/>
          <w:b/>
          <w:bCs/>
          <w:spacing w:val="-3"/>
        </w:rPr>
        <w:t>.</w:t>
      </w:r>
      <w:r w:rsidR="00FF49E4">
        <w:rPr>
          <w:rFonts w:ascii="Times New Roman" w:hAnsi="Times New Roman"/>
          <w:b/>
          <w:bCs/>
          <w:spacing w:val="-3"/>
        </w:rPr>
        <w:tab/>
      </w:r>
      <w:r w:rsidR="00FF3B03">
        <w:rPr>
          <w:rFonts w:ascii="Times New Roman" w:hAnsi="Times New Roman"/>
          <w:b/>
          <w:bCs/>
          <w:spacing w:val="-3"/>
        </w:rPr>
        <w:t xml:space="preserve">(i) </w:t>
      </w:r>
      <w:r w:rsidR="008F656F">
        <w:rPr>
          <w:rFonts w:ascii="Times New Roman" w:hAnsi="Times New Roman"/>
          <w:b/>
          <w:bCs/>
          <w:spacing w:val="-3"/>
        </w:rPr>
        <w:t xml:space="preserve">LIFE EXPECTANCY </w:t>
      </w:r>
      <w:r w:rsidR="00FF49E4">
        <w:rPr>
          <w:rFonts w:ascii="Times New Roman" w:hAnsi="Times New Roman"/>
          <w:spacing w:val="-3"/>
        </w:rPr>
        <w:t xml:space="preserve">(Approved </w:t>
      </w:r>
      <w:r w:rsidR="00C75C68">
        <w:rPr>
          <w:rFonts w:ascii="Times New Roman" w:hAnsi="Times New Roman"/>
          <w:spacing w:val="-3"/>
        </w:rPr>
        <w:t>0</w:t>
      </w:r>
      <w:r w:rsidR="00FF49E4">
        <w:rPr>
          <w:rFonts w:ascii="Times New Roman" w:hAnsi="Times New Roman"/>
          <w:spacing w:val="-3"/>
        </w:rPr>
        <w:t>2/</w:t>
      </w:r>
      <w:r w:rsidR="00C75C68">
        <w:rPr>
          <w:rFonts w:ascii="Times New Roman" w:hAnsi="Times New Roman"/>
          <w:spacing w:val="-3"/>
        </w:rPr>
        <w:t>19</w:t>
      </w:r>
      <w:r w:rsidR="00FF49E4">
        <w:rPr>
          <w:rFonts w:ascii="Times New Roman" w:hAnsi="Times New Roman"/>
          <w:spacing w:val="-3"/>
        </w:rPr>
        <w:t>96)</w:t>
      </w:r>
    </w:p>
    <w:p w:rsidR="00FF49E4" w:rsidRDefault="00FF49E4" w:rsidP="00C5711A">
      <w:pPr>
        <w:tabs>
          <w:tab w:val="left" w:pos="-720"/>
        </w:tabs>
        <w:spacing w:line="480" w:lineRule="auto"/>
        <w:jc w:val="both"/>
        <w:rPr>
          <w:rFonts w:ascii="Times New Roman" w:hAnsi="Times New Roman"/>
          <w:spacing w:val="-3"/>
        </w:rPr>
      </w:pPr>
      <w:r>
        <w:rPr>
          <w:rFonts w:ascii="Times New Roman" w:hAnsi="Times New Roman"/>
          <w:spacing w:val="-3"/>
        </w:rPr>
        <w:tab/>
        <w:t xml:space="preserve">If you make an award for future pain and suffering, disability and impairment, loss of enjoyment of life, medical expenses, and loss of future earnings, you may consider the plaintiff's life expectancy.  Plaintiff's life expectancy today (at the time of the accident) is _______ years.  That is an estimation of his/her probable length of life based upon statistical data.  Since it is a general estimate, you should use it with caution in an individual case.  The plaintiff may live a longer or shorter period than the estimated figure.  You should exercise your sound judgment in applying the life expectancy figure without treating it as a necessary and fixed rule.  </w:t>
      </w:r>
    </w:p>
    <w:p w:rsidR="00FF3B03" w:rsidRDefault="00FF3B03" w:rsidP="00FF3B03">
      <w:pPr>
        <w:tabs>
          <w:tab w:val="center" w:pos="4680"/>
        </w:tabs>
        <w:spacing w:line="480" w:lineRule="atLeast"/>
        <w:jc w:val="both"/>
        <w:rPr>
          <w:rFonts w:ascii="Times New Roman" w:hAnsi="Times New Roman"/>
          <w:spacing w:val="-3"/>
          <w:u w:val="single"/>
        </w:rPr>
      </w:pPr>
      <w:r>
        <w:rPr>
          <w:rFonts w:ascii="Times New Roman" w:hAnsi="Times New Roman"/>
          <w:b/>
          <w:bCs/>
          <w:spacing w:val="-3"/>
          <w:u w:val="single"/>
        </w:rPr>
        <w:t>Cases</w:t>
      </w:r>
      <w:r w:rsidRPr="00A12B3E">
        <w:rPr>
          <w:rFonts w:ascii="Times New Roman" w:hAnsi="Times New Roman"/>
          <w:b/>
          <w:bCs/>
          <w:spacing w:val="-3"/>
        </w:rPr>
        <w:t>:</w:t>
      </w:r>
    </w:p>
    <w:p w:rsidR="00FF3B03" w:rsidRDefault="00FF3B03" w:rsidP="00FF3B03">
      <w:pPr>
        <w:tabs>
          <w:tab w:val="left" w:pos="-720"/>
          <w:tab w:val="left" w:pos="0"/>
        </w:tabs>
        <w:spacing w:line="240" w:lineRule="atLeast"/>
        <w:ind w:left="720" w:right="720" w:hanging="720"/>
        <w:jc w:val="both"/>
        <w:rPr>
          <w:rFonts w:ascii="Times New Roman" w:hAnsi="Times New Roman"/>
          <w:i/>
          <w:iCs/>
          <w:spacing w:val="-3"/>
        </w:rPr>
      </w:pPr>
    </w:p>
    <w:p w:rsidR="00FF3B03" w:rsidRDefault="00FF3B03" w:rsidP="00FF3B03">
      <w:pPr>
        <w:tabs>
          <w:tab w:val="left" w:pos="-720"/>
          <w:tab w:val="left" w:pos="0"/>
        </w:tabs>
        <w:ind w:left="720" w:right="720"/>
        <w:jc w:val="both"/>
        <w:rPr>
          <w:rFonts w:ascii="Times New Roman" w:hAnsi="Times New Roman"/>
          <w:spacing w:val="-3"/>
        </w:rPr>
      </w:pPr>
      <w:smartTag w:uri="urn:schemas-microsoft-com:office:smarttags" w:element="PlaceType">
        <w:smartTag w:uri="urn:schemas-microsoft-com:office:smarttags" w:element="City">
          <w:r>
            <w:rPr>
              <w:rFonts w:ascii="Times New Roman" w:hAnsi="Times New Roman"/>
              <w:i/>
              <w:iCs/>
              <w:spacing w:val="-3"/>
            </w:rPr>
            <w:t>Dalton</w:t>
          </w:r>
        </w:smartTag>
      </w:smartTag>
      <w:r>
        <w:rPr>
          <w:rFonts w:ascii="Times New Roman" w:hAnsi="Times New Roman"/>
          <w:i/>
          <w:iCs/>
          <w:spacing w:val="-3"/>
        </w:rPr>
        <w:t xml:space="preserve"> v. Gesser,</w:t>
      </w:r>
      <w:r>
        <w:rPr>
          <w:rFonts w:ascii="Times New Roman" w:hAnsi="Times New Roman"/>
          <w:spacing w:val="-3"/>
        </w:rPr>
        <w:t xml:space="preserve"> 72 </w:t>
      </w:r>
      <w:r>
        <w:rPr>
          <w:rFonts w:ascii="Times New Roman" w:hAnsi="Times New Roman"/>
          <w:i/>
          <w:iCs/>
          <w:spacing w:val="-3"/>
        </w:rPr>
        <w:t>N.J. Super.</w:t>
      </w:r>
      <w:r>
        <w:rPr>
          <w:rFonts w:ascii="Times New Roman" w:hAnsi="Times New Roman"/>
          <w:spacing w:val="-3"/>
        </w:rPr>
        <w:t xml:space="preserve"> 100 (App. Div. 1962); </w:t>
      </w:r>
      <w:r>
        <w:rPr>
          <w:rFonts w:ascii="Times New Roman" w:hAnsi="Times New Roman"/>
          <w:i/>
          <w:iCs/>
          <w:spacing w:val="-3"/>
        </w:rPr>
        <w:t>Housen v. Olesky,</w:t>
      </w:r>
      <w:r>
        <w:rPr>
          <w:rFonts w:ascii="Times New Roman" w:hAnsi="Times New Roman"/>
          <w:spacing w:val="-3"/>
        </w:rPr>
        <w:t xml:space="preserve"> 71 </w:t>
      </w:r>
      <w:r>
        <w:rPr>
          <w:rFonts w:ascii="Times New Roman" w:hAnsi="Times New Roman"/>
          <w:i/>
          <w:iCs/>
          <w:spacing w:val="-3"/>
        </w:rPr>
        <w:t>N.J.Super.</w:t>
      </w:r>
      <w:r>
        <w:rPr>
          <w:rFonts w:ascii="Times New Roman" w:hAnsi="Times New Roman"/>
          <w:spacing w:val="-3"/>
        </w:rPr>
        <w:t xml:space="preserve"> 95 (App. Div. 1961); </w:t>
      </w:r>
      <w:r>
        <w:rPr>
          <w:rFonts w:ascii="Times New Roman" w:hAnsi="Times New Roman"/>
          <w:i/>
          <w:iCs/>
          <w:spacing w:val="-3"/>
        </w:rPr>
        <w:t>Kappovich v. LeWinter,</w:t>
      </w:r>
      <w:r>
        <w:rPr>
          <w:rFonts w:ascii="Times New Roman" w:hAnsi="Times New Roman"/>
          <w:spacing w:val="-3"/>
        </w:rPr>
        <w:t xml:space="preserve"> 43 </w:t>
      </w:r>
      <w:r>
        <w:rPr>
          <w:rFonts w:ascii="Times New Roman" w:hAnsi="Times New Roman"/>
          <w:i/>
          <w:iCs/>
          <w:spacing w:val="-3"/>
        </w:rPr>
        <w:t>N.J. Super.</w:t>
      </w:r>
      <w:r>
        <w:rPr>
          <w:rFonts w:ascii="Times New Roman" w:hAnsi="Times New Roman"/>
          <w:spacing w:val="-3"/>
        </w:rPr>
        <w:t xml:space="preserve"> 528 (App. Div. 1957); </w:t>
      </w:r>
      <w:r>
        <w:rPr>
          <w:rFonts w:ascii="Times New Roman" w:hAnsi="Times New Roman"/>
          <w:i/>
          <w:iCs/>
          <w:spacing w:val="-3"/>
        </w:rPr>
        <w:t>Dickerson v. Mutual Grocer Co.,</w:t>
      </w:r>
      <w:r>
        <w:rPr>
          <w:rFonts w:ascii="Times New Roman" w:hAnsi="Times New Roman"/>
          <w:spacing w:val="-3"/>
        </w:rPr>
        <w:t xml:space="preserve"> 100 </w:t>
      </w:r>
      <w:r>
        <w:rPr>
          <w:rFonts w:ascii="Times New Roman" w:hAnsi="Times New Roman"/>
          <w:i/>
          <w:iCs/>
          <w:spacing w:val="-3"/>
        </w:rPr>
        <w:t>N.J.L.</w:t>
      </w:r>
      <w:r>
        <w:rPr>
          <w:rFonts w:ascii="Times New Roman" w:hAnsi="Times New Roman"/>
          <w:spacing w:val="-3"/>
        </w:rPr>
        <w:t xml:space="preserve"> 118 (E. &amp; A. 1924).</w:t>
      </w:r>
      <w:bookmarkStart w:id="0" w:name="a6_11I"/>
      <w:bookmarkEnd w:id="0"/>
    </w:p>
    <w:p w:rsidR="00C5711A" w:rsidRDefault="00C5711A" w:rsidP="00FF3B03">
      <w:pPr>
        <w:tabs>
          <w:tab w:val="left" w:pos="-720"/>
          <w:tab w:val="left" w:pos="0"/>
        </w:tabs>
        <w:ind w:left="720" w:right="720"/>
        <w:jc w:val="both"/>
        <w:rPr>
          <w:rFonts w:ascii="Times New Roman" w:hAnsi="Times New Roman"/>
          <w:spacing w:val="-3"/>
        </w:rPr>
      </w:pPr>
    </w:p>
    <w:p w:rsidR="00FF49E4" w:rsidRDefault="00C5711A" w:rsidP="00C5711A">
      <w:pPr>
        <w:tabs>
          <w:tab w:val="left" w:pos="-720"/>
        </w:tabs>
        <w:spacing w:line="480" w:lineRule="auto"/>
        <w:jc w:val="both"/>
        <w:rPr>
          <w:rFonts w:ascii="Times New Roman" w:hAnsi="Times New Roman"/>
          <w:spacing w:val="-3"/>
        </w:rPr>
      </w:pPr>
      <w:r>
        <w:rPr>
          <w:rFonts w:ascii="Times New Roman" w:hAnsi="Times New Roman"/>
          <w:b/>
          <w:spacing w:val="-3"/>
        </w:rPr>
        <w:tab/>
      </w:r>
      <w:r>
        <w:rPr>
          <w:rFonts w:ascii="Times New Roman" w:hAnsi="Times New Roman"/>
          <w:b/>
          <w:spacing w:val="-3"/>
        </w:rPr>
        <w:tab/>
      </w:r>
      <w:r w:rsidR="00FF3B03" w:rsidRPr="00C5711A">
        <w:rPr>
          <w:rFonts w:ascii="Times New Roman" w:hAnsi="Times New Roman"/>
          <w:b/>
          <w:spacing w:val="-3"/>
        </w:rPr>
        <w:t>(ii)</w:t>
      </w:r>
      <w:r w:rsidR="00FF3B03">
        <w:rPr>
          <w:rFonts w:ascii="Times New Roman" w:hAnsi="Times New Roman"/>
          <w:spacing w:val="-3"/>
        </w:rPr>
        <w:t xml:space="preserve">  </w:t>
      </w:r>
      <w:r w:rsidR="00FF3B03" w:rsidRPr="00FF3B03">
        <w:rPr>
          <w:rFonts w:ascii="Times New Roman" w:hAnsi="Times New Roman"/>
          <w:b/>
          <w:spacing w:val="-3"/>
        </w:rPr>
        <w:t>TIME UNIT RULE</w:t>
      </w:r>
      <w:r w:rsidR="00FF3B03">
        <w:rPr>
          <w:rFonts w:ascii="Times New Roman" w:hAnsi="Times New Roman"/>
          <w:b/>
          <w:spacing w:val="-3"/>
        </w:rPr>
        <w:t xml:space="preserve"> </w:t>
      </w:r>
      <w:r w:rsidR="00FF3B03">
        <w:rPr>
          <w:rFonts w:ascii="Times New Roman" w:hAnsi="Times New Roman"/>
          <w:spacing w:val="-3"/>
        </w:rPr>
        <w:t xml:space="preserve">(Approved </w:t>
      </w:r>
      <w:r w:rsidR="00F36A3E">
        <w:rPr>
          <w:rFonts w:ascii="Times New Roman" w:hAnsi="Times New Roman"/>
          <w:spacing w:val="-3"/>
        </w:rPr>
        <w:t>04</w:t>
      </w:r>
      <w:r w:rsidR="00FF3B03">
        <w:rPr>
          <w:rFonts w:ascii="Times New Roman" w:hAnsi="Times New Roman"/>
          <w:spacing w:val="-3"/>
        </w:rPr>
        <w:t>/</w:t>
      </w:r>
      <w:r w:rsidR="00C75C68">
        <w:rPr>
          <w:rFonts w:ascii="Times New Roman" w:hAnsi="Times New Roman"/>
          <w:spacing w:val="-3"/>
        </w:rPr>
        <w:t>20</w:t>
      </w:r>
      <w:r w:rsidR="00FF3B03">
        <w:rPr>
          <w:rFonts w:ascii="Times New Roman" w:hAnsi="Times New Roman"/>
          <w:spacing w:val="-3"/>
        </w:rPr>
        <w:t>15)</w:t>
      </w:r>
    </w:p>
    <w:p w:rsidR="001371AB" w:rsidRDefault="00C5711A" w:rsidP="00C5711A">
      <w:pPr>
        <w:tabs>
          <w:tab w:val="left" w:pos="-720"/>
        </w:tabs>
        <w:jc w:val="both"/>
        <w:rPr>
          <w:rFonts w:ascii="Times New Roman" w:hAnsi="Times New Roman"/>
          <w:i/>
          <w:spacing w:val="-3"/>
        </w:rPr>
      </w:pPr>
      <w:r>
        <w:rPr>
          <w:rFonts w:ascii="Times New Roman" w:hAnsi="Times New Roman"/>
          <w:spacing w:val="-3"/>
        </w:rPr>
        <w:tab/>
      </w:r>
      <w:r>
        <w:rPr>
          <w:rFonts w:ascii="Times New Roman" w:hAnsi="Times New Roman"/>
          <w:i/>
          <w:spacing w:val="-3"/>
        </w:rPr>
        <w:t>[T</w:t>
      </w:r>
      <w:r w:rsidR="001371AB" w:rsidRPr="00C5711A">
        <w:rPr>
          <w:rFonts w:ascii="Times New Roman" w:hAnsi="Times New Roman"/>
          <w:i/>
          <w:spacing w:val="-3"/>
        </w:rPr>
        <w:t>he following charge may be given where appropriate</w:t>
      </w:r>
      <w:r w:rsidR="002E01E8" w:rsidRPr="00C5711A">
        <w:rPr>
          <w:rFonts w:ascii="Times New Roman" w:hAnsi="Times New Roman"/>
          <w:i/>
          <w:spacing w:val="-3"/>
        </w:rPr>
        <w:t xml:space="preserve"> </w:t>
      </w:r>
      <w:r w:rsidR="00301A3C" w:rsidRPr="00C5711A">
        <w:rPr>
          <w:rFonts w:ascii="Times New Roman" w:hAnsi="Times New Roman"/>
          <w:i/>
          <w:spacing w:val="-3"/>
        </w:rPr>
        <w:t>and with proper notice by</w:t>
      </w:r>
      <w:r w:rsidR="002E01E8" w:rsidRPr="00C5711A">
        <w:rPr>
          <w:rFonts w:ascii="Times New Roman" w:hAnsi="Times New Roman"/>
          <w:i/>
          <w:spacing w:val="-3"/>
        </w:rPr>
        <w:t xml:space="preserve"> counsel</w:t>
      </w:r>
      <w:r w:rsidR="001371AB" w:rsidRPr="00C5711A">
        <w:rPr>
          <w:rFonts w:ascii="Times New Roman" w:hAnsi="Times New Roman"/>
          <w:i/>
          <w:spacing w:val="-3"/>
        </w:rPr>
        <w:t xml:space="preserve"> and in keeping with Rule 1:7-1(b)]</w:t>
      </w:r>
    </w:p>
    <w:p w:rsidR="00C5711A" w:rsidRPr="00C5711A" w:rsidRDefault="00C5711A" w:rsidP="00C5711A">
      <w:pPr>
        <w:tabs>
          <w:tab w:val="left" w:pos="-720"/>
        </w:tabs>
        <w:jc w:val="both"/>
        <w:rPr>
          <w:rFonts w:ascii="Times New Roman" w:hAnsi="Times New Roman"/>
          <w:i/>
          <w:spacing w:val="-3"/>
        </w:rPr>
      </w:pPr>
    </w:p>
    <w:p w:rsidR="00DC3375" w:rsidRDefault="001371AB" w:rsidP="00C5711A">
      <w:pPr>
        <w:tabs>
          <w:tab w:val="left" w:pos="-720"/>
        </w:tabs>
        <w:spacing w:line="480" w:lineRule="auto"/>
        <w:jc w:val="both"/>
        <w:rPr>
          <w:rFonts w:ascii="Times New Roman" w:hAnsi="Times New Roman"/>
          <w:b/>
          <w:i/>
          <w:spacing w:val="-3"/>
        </w:rPr>
      </w:pPr>
      <w:r>
        <w:rPr>
          <w:rFonts w:ascii="Times New Roman" w:hAnsi="Times New Roman"/>
          <w:spacing w:val="-3"/>
        </w:rPr>
        <w:tab/>
      </w:r>
      <w:r w:rsidR="00FF3B03">
        <w:rPr>
          <w:rFonts w:ascii="Times New Roman" w:hAnsi="Times New Roman"/>
          <w:spacing w:val="-3"/>
        </w:rPr>
        <w:t>Our Rules of Court permit counsel to argue to the jury the appropriateness of applying a time unit calculation in determining damages for pain and suffering</w:t>
      </w:r>
      <w:r>
        <w:rPr>
          <w:rFonts w:ascii="Times New Roman" w:hAnsi="Times New Roman"/>
          <w:spacing w:val="-3"/>
        </w:rPr>
        <w:t xml:space="preserve">, disability, impairment and loss of </w:t>
      </w:r>
      <w:r w:rsidRPr="00C5711A">
        <w:rPr>
          <w:rFonts w:ascii="Times New Roman" w:hAnsi="Times New Roman"/>
          <w:spacing w:val="-3"/>
        </w:rPr>
        <w:t>enjoyment of life</w:t>
      </w:r>
      <w:r w:rsidR="00FF3B03" w:rsidRPr="00C5711A">
        <w:rPr>
          <w:rFonts w:ascii="Times New Roman" w:hAnsi="Times New Roman"/>
          <w:spacing w:val="-3"/>
        </w:rPr>
        <w:t xml:space="preserve">.  </w:t>
      </w:r>
      <w:r w:rsidRPr="00C5711A">
        <w:rPr>
          <w:rFonts w:ascii="Times New Roman" w:hAnsi="Times New Roman"/>
          <w:spacing w:val="-3"/>
        </w:rPr>
        <w:t xml:space="preserve">Counsel are not permitted to </w:t>
      </w:r>
      <w:r w:rsidRPr="00C5711A">
        <w:rPr>
          <w:rFonts w:ascii="Times New Roman" w:hAnsi="Times New Roman"/>
          <w:spacing w:val="-3"/>
        </w:rPr>
        <w:lastRenderedPageBreak/>
        <w:t xml:space="preserve">mention specific </w:t>
      </w:r>
      <w:r w:rsidR="002E01E8" w:rsidRPr="00C5711A">
        <w:rPr>
          <w:rFonts w:ascii="Times New Roman" w:hAnsi="Times New Roman"/>
          <w:spacing w:val="-3"/>
        </w:rPr>
        <w:t>amounts of money</w:t>
      </w:r>
      <w:r w:rsidRPr="00C5711A">
        <w:rPr>
          <w:rFonts w:ascii="Times New Roman" w:hAnsi="Times New Roman"/>
          <w:spacing w:val="-3"/>
        </w:rPr>
        <w:t xml:space="preserve"> for the calculation of</w:t>
      </w:r>
      <w:r w:rsidR="007F0E64" w:rsidRPr="00C5711A">
        <w:rPr>
          <w:rFonts w:ascii="Times New Roman" w:hAnsi="Times New Roman"/>
          <w:spacing w:val="-3"/>
        </w:rPr>
        <w:t xml:space="preserve"> such</w:t>
      </w:r>
      <w:r w:rsidRPr="00C5711A">
        <w:rPr>
          <w:rFonts w:ascii="Times New Roman" w:hAnsi="Times New Roman"/>
          <w:spacing w:val="-3"/>
        </w:rPr>
        <w:t xml:space="preserve"> damages.  They are permitted, however</w:t>
      </w:r>
      <w:r w:rsidR="008B41AC" w:rsidRPr="00C5711A">
        <w:rPr>
          <w:rFonts w:ascii="Times New Roman" w:hAnsi="Times New Roman"/>
          <w:spacing w:val="-3"/>
        </w:rPr>
        <w:t>,</w:t>
      </w:r>
      <w:r w:rsidRPr="00C5711A">
        <w:rPr>
          <w:rFonts w:ascii="Times New Roman" w:hAnsi="Times New Roman"/>
          <w:spacing w:val="-3"/>
        </w:rPr>
        <w:t xml:space="preserve"> to argue </w:t>
      </w:r>
      <w:r w:rsidR="007F0E64" w:rsidRPr="00C5711A">
        <w:rPr>
          <w:rFonts w:ascii="Times New Roman" w:hAnsi="Times New Roman"/>
          <w:spacing w:val="-3"/>
        </w:rPr>
        <w:t xml:space="preserve">that you may employ a time unit calculation, that is, to consider an amount of money in relation to an amount of time, </w:t>
      </w:r>
      <w:r w:rsidRPr="00C5711A">
        <w:rPr>
          <w:rFonts w:ascii="Times New Roman" w:hAnsi="Times New Roman"/>
          <w:spacing w:val="-3"/>
        </w:rPr>
        <w:t xml:space="preserve">when </w:t>
      </w:r>
      <w:r w:rsidR="007F0E64" w:rsidRPr="00C5711A">
        <w:rPr>
          <w:rFonts w:ascii="Times New Roman" w:hAnsi="Times New Roman"/>
          <w:spacing w:val="-3"/>
        </w:rPr>
        <w:t xml:space="preserve">determining such damages. </w:t>
      </w:r>
      <w:r w:rsidRPr="00C5711A">
        <w:rPr>
          <w:rFonts w:ascii="Times New Roman" w:hAnsi="Times New Roman"/>
          <w:spacing w:val="-3"/>
        </w:rPr>
        <w:t>.</w:t>
      </w:r>
      <w:r>
        <w:rPr>
          <w:rFonts w:ascii="Times New Roman" w:hAnsi="Times New Roman"/>
          <w:spacing w:val="-3"/>
        </w:rPr>
        <w:t xml:space="preserve">  </w:t>
      </w:r>
    </w:p>
    <w:p w:rsidR="00FF3B03" w:rsidRDefault="00DC3375" w:rsidP="00C5711A">
      <w:pPr>
        <w:tabs>
          <w:tab w:val="left" w:pos="-720"/>
        </w:tabs>
        <w:spacing w:line="480" w:lineRule="auto"/>
        <w:jc w:val="both"/>
        <w:rPr>
          <w:rFonts w:ascii="Times New Roman" w:hAnsi="Times New Roman"/>
          <w:spacing w:val="-3"/>
        </w:rPr>
      </w:pPr>
      <w:r>
        <w:rPr>
          <w:rFonts w:ascii="Times New Roman" w:hAnsi="Times New Roman"/>
          <w:spacing w:val="-3"/>
        </w:rPr>
        <w:tab/>
      </w:r>
      <w:r w:rsidR="00FF3B03">
        <w:rPr>
          <w:rFonts w:ascii="Times New Roman" w:hAnsi="Times New Roman"/>
          <w:spacing w:val="-3"/>
        </w:rPr>
        <w:t xml:space="preserve">I charge you, Ladies and Gentlemen, that the argument of counsel with reference to calculation of damages on a time-unit basis is argument only and is not </w:t>
      </w:r>
      <w:r w:rsidR="001371AB">
        <w:rPr>
          <w:rFonts w:ascii="Times New Roman" w:hAnsi="Times New Roman"/>
          <w:spacing w:val="-3"/>
        </w:rPr>
        <w:t>to</w:t>
      </w:r>
      <w:r w:rsidR="00FF3B03">
        <w:rPr>
          <w:rFonts w:ascii="Times New Roman" w:hAnsi="Times New Roman"/>
          <w:spacing w:val="-3"/>
        </w:rPr>
        <w:t xml:space="preserve"> be considered by you as evidence.  Counsel’s statements are a suggestion to you as to how you might determine damages for pain and suffering</w:t>
      </w:r>
      <w:r w:rsidR="001371AB">
        <w:rPr>
          <w:rFonts w:ascii="Times New Roman" w:hAnsi="Times New Roman"/>
          <w:spacing w:val="-3"/>
        </w:rPr>
        <w:t>,</w:t>
      </w:r>
      <w:r w:rsidR="001371AB" w:rsidRPr="001371AB">
        <w:rPr>
          <w:rFonts w:ascii="Times New Roman" w:hAnsi="Times New Roman"/>
          <w:spacing w:val="-3"/>
        </w:rPr>
        <w:t xml:space="preserve"> </w:t>
      </w:r>
      <w:r w:rsidR="001371AB">
        <w:rPr>
          <w:rFonts w:ascii="Times New Roman" w:hAnsi="Times New Roman"/>
          <w:spacing w:val="-3"/>
        </w:rPr>
        <w:t>disability, impairment and loss of enjoyment of life</w:t>
      </w:r>
      <w:r w:rsidR="00FF3B03">
        <w:rPr>
          <w:rFonts w:ascii="Times New Roman" w:hAnsi="Times New Roman"/>
          <w:spacing w:val="-3"/>
        </w:rPr>
        <w:t xml:space="preserve">.  </w:t>
      </w:r>
      <w:r w:rsidR="002E01E8">
        <w:rPr>
          <w:rFonts w:ascii="Times New Roman" w:hAnsi="Times New Roman"/>
          <w:spacing w:val="-3"/>
        </w:rPr>
        <w:t xml:space="preserve">You are free to accept or reject this argument as you deem appropriate.  </w:t>
      </w:r>
      <w:r w:rsidR="00FF3B03">
        <w:rPr>
          <w:rFonts w:ascii="Times New Roman" w:hAnsi="Times New Roman"/>
          <w:spacing w:val="-3"/>
        </w:rPr>
        <w:t>I remind you that you are to make a determination on the amount of damages based on the evidence presented and the instructions I have given you</w:t>
      </w:r>
      <w:r w:rsidR="007F0E64">
        <w:rPr>
          <w:rFonts w:ascii="Times New Roman" w:hAnsi="Times New Roman"/>
          <w:spacing w:val="-3"/>
        </w:rPr>
        <w:t xml:space="preserve"> on damages.</w:t>
      </w:r>
    </w:p>
    <w:p w:rsidR="002E01E8" w:rsidRPr="00FF3B03" w:rsidRDefault="002E01E8" w:rsidP="00C5711A">
      <w:pPr>
        <w:tabs>
          <w:tab w:val="left" w:pos="-720"/>
        </w:tabs>
        <w:spacing w:line="480" w:lineRule="auto"/>
        <w:jc w:val="both"/>
        <w:rPr>
          <w:rFonts w:ascii="Times New Roman" w:hAnsi="Times New Roman"/>
          <w:spacing w:val="-3"/>
        </w:rPr>
      </w:pPr>
    </w:p>
    <w:sectPr w:rsidR="002E01E8" w:rsidRPr="00FF3B03" w:rsidSect="00A12B3E">
      <w:headerReference w:type="default" r:id="rId7"/>
      <w:endnotePr>
        <w:numFmt w:val="decimal"/>
      </w:endnotePr>
      <w:type w:val="continuous"/>
      <w:pgSz w:w="12240" w:h="15840" w:code="1"/>
      <w:pgMar w:top="1008" w:right="1440" w:bottom="1440" w:left="1440" w:header="1152"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407" w:rsidRDefault="009A3407">
      <w:pPr>
        <w:widowControl/>
        <w:spacing w:line="20" w:lineRule="exact"/>
        <w:rPr>
          <w:sz w:val="20"/>
          <w:szCs w:val="24"/>
        </w:rPr>
      </w:pPr>
    </w:p>
  </w:endnote>
  <w:endnote w:type="continuationSeparator" w:id="0">
    <w:p w:rsidR="009A3407" w:rsidRDefault="009A3407">
      <w:r>
        <w:rPr>
          <w:sz w:val="20"/>
          <w:szCs w:val="24"/>
        </w:rPr>
        <w:t xml:space="preserve"> </w:t>
      </w:r>
    </w:p>
  </w:endnote>
  <w:endnote w:type="continuationNotice" w:id="1">
    <w:p w:rsidR="009A3407" w:rsidRDefault="009A3407">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emp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407" w:rsidRDefault="009A3407">
      <w:r>
        <w:rPr>
          <w:sz w:val="20"/>
          <w:szCs w:val="24"/>
        </w:rPr>
        <w:separator/>
      </w:r>
    </w:p>
  </w:footnote>
  <w:footnote w:type="continuationSeparator" w:id="0">
    <w:p w:rsidR="009A3407" w:rsidRDefault="009A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72" w:rsidRDefault="00AE4872" w:rsidP="000C5968">
    <w:pPr>
      <w:tabs>
        <w:tab w:val="right" w:pos="9360"/>
      </w:tabs>
      <w:jc w:val="both"/>
      <w:rPr>
        <w:rFonts w:ascii="Times New Roman" w:hAnsi="Times New Roman"/>
        <w:b/>
        <w:bCs/>
        <w:spacing w:val="-3"/>
      </w:rPr>
    </w:pPr>
    <w:bookmarkStart w:id="1" w:name="_GoBack"/>
    <w:r>
      <w:rPr>
        <w:spacing w:val="-3"/>
      </w:rPr>
      <w:tab/>
    </w:r>
    <w:bookmarkEnd w:id="1"/>
    <w:r>
      <w:rPr>
        <w:rFonts w:ascii="Times New Roman" w:hAnsi="Times New Roman"/>
        <w:b/>
        <w:bCs/>
        <w:spacing w:val="-3"/>
      </w:rPr>
      <w:t xml:space="preserve">CHARGE 8.11G ― Page </w:t>
    </w:r>
    <w:r>
      <w:rPr>
        <w:rFonts w:ascii="Times New Roman" w:hAnsi="Times New Roman"/>
        <w:b/>
        <w:bCs/>
        <w:spacing w:val="-3"/>
      </w:rPr>
      <w:fldChar w:fldCharType="begin"/>
    </w:r>
    <w:r>
      <w:rPr>
        <w:rFonts w:ascii="Times New Roman" w:hAnsi="Times New Roman"/>
        <w:b/>
        <w:bCs/>
        <w:spacing w:val="-3"/>
      </w:rPr>
      <w:instrText>page \* arabic</w:instrText>
    </w:r>
    <w:r>
      <w:rPr>
        <w:rFonts w:ascii="Times New Roman" w:hAnsi="Times New Roman"/>
        <w:b/>
        <w:bCs/>
        <w:spacing w:val="-3"/>
      </w:rPr>
      <w:fldChar w:fldCharType="separate"/>
    </w:r>
    <w:r w:rsidR="00A640B5">
      <w:rPr>
        <w:rFonts w:ascii="Times New Roman" w:hAnsi="Times New Roman"/>
        <w:b/>
        <w:bCs/>
        <w:noProof/>
        <w:spacing w:val="-3"/>
      </w:rPr>
      <w:t>1</w:t>
    </w:r>
    <w:r>
      <w:rPr>
        <w:rFonts w:ascii="Times New Roman" w:hAnsi="Times New Roman"/>
        <w:b/>
        <w:bCs/>
        <w:spacing w:val="-3"/>
      </w:rPr>
      <w:fldChar w:fldCharType="end"/>
    </w:r>
    <w:r>
      <w:rPr>
        <w:rFonts w:ascii="Times New Roman" w:hAnsi="Times New Roman"/>
        <w:b/>
        <w:bCs/>
        <w:spacing w:val="-3"/>
      </w:rPr>
      <w:t xml:space="preserve"> of </w:t>
    </w:r>
    <w:r>
      <w:rPr>
        <w:rFonts w:ascii="Times New Roman" w:hAnsi="Times New Roman"/>
        <w:b/>
        <w:bCs/>
        <w:spacing w:val="-3"/>
      </w:rPr>
      <w:fldChar w:fldCharType="begin"/>
    </w:r>
    <w:r>
      <w:rPr>
        <w:rFonts w:ascii="Times New Roman" w:hAnsi="Times New Roman"/>
        <w:b/>
        <w:bCs/>
        <w:spacing w:val="-3"/>
      </w:rPr>
      <w:instrText>pageref a6_11I</w:instrText>
    </w:r>
    <w:r>
      <w:rPr>
        <w:rFonts w:ascii="Times New Roman" w:hAnsi="Times New Roman"/>
        <w:b/>
        <w:bCs/>
        <w:spacing w:val="-3"/>
      </w:rPr>
      <w:fldChar w:fldCharType="separate"/>
    </w:r>
    <w:r w:rsidR="00A640B5">
      <w:rPr>
        <w:rFonts w:ascii="Times New Roman" w:hAnsi="Times New Roman"/>
        <w:b/>
        <w:bCs/>
        <w:noProof/>
        <w:spacing w:val="-3"/>
      </w:rPr>
      <w:t>1</w:t>
    </w:r>
    <w:r>
      <w:rPr>
        <w:rFonts w:ascii="Times New Roman" w:hAnsi="Times New Roman"/>
        <w:b/>
        <w:bCs/>
        <w:spacing w:val="-3"/>
      </w:rPr>
      <w:fldChar w:fldCharType="end"/>
    </w:r>
  </w:p>
  <w:p w:rsidR="00AE4872" w:rsidRDefault="00AE4872" w:rsidP="000C5968">
    <w:pPr>
      <w:tabs>
        <w:tab w:val="right" w:pos="9360"/>
      </w:tabs>
      <w:jc w:val="both"/>
      <w:rPr>
        <w:rFonts w:ascii="Times New Roman" w:hAnsi="Times New Roman"/>
        <w:b/>
        <w:bCs/>
        <w:spacing w:val="-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30"/>
    <w:rsid w:val="000C5968"/>
    <w:rsid w:val="001371AB"/>
    <w:rsid w:val="002E01E8"/>
    <w:rsid w:val="00301A3C"/>
    <w:rsid w:val="007F0E64"/>
    <w:rsid w:val="008275E1"/>
    <w:rsid w:val="008B41AC"/>
    <w:rsid w:val="008F656F"/>
    <w:rsid w:val="00913880"/>
    <w:rsid w:val="00966E30"/>
    <w:rsid w:val="009A3407"/>
    <w:rsid w:val="009F6ACE"/>
    <w:rsid w:val="00A12B3E"/>
    <w:rsid w:val="00A640B5"/>
    <w:rsid w:val="00AE4872"/>
    <w:rsid w:val="00BA7F30"/>
    <w:rsid w:val="00C5711A"/>
    <w:rsid w:val="00C75C68"/>
    <w:rsid w:val="00C856AC"/>
    <w:rsid w:val="00CE3CBC"/>
    <w:rsid w:val="00D63709"/>
    <w:rsid w:val="00DC3375"/>
    <w:rsid w:val="00DC633A"/>
    <w:rsid w:val="00DE2EC1"/>
    <w:rsid w:val="00DF50BD"/>
    <w:rsid w:val="00E1355B"/>
    <w:rsid w:val="00E406B6"/>
    <w:rsid w:val="00F36A3E"/>
    <w:rsid w:val="00FF3B03"/>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3D49C77-2250-4F53-B233-6231CA05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empo" w:hAnsi="Tiemp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4"/>
    </w:rPr>
  </w:style>
  <w:style w:type="character" w:styleId="EndnoteReference">
    <w:name w:val="endnote reference"/>
    <w:semiHidden/>
    <w:rPr>
      <w:vertAlign w:val="superscript"/>
    </w:rPr>
  </w:style>
  <w:style w:type="paragraph" w:styleId="FootnoteText">
    <w:name w:val="footnote text"/>
    <w:basedOn w:val="Normal"/>
    <w:semiHidden/>
    <w:rPr>
      <w:sz w:val="20"/>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F5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E751-6AAA-481D-A93C-52B7F8F6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1874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6</vt:lpstr>
    </vt:vector>
  </TitlesOfParts>
  <Company>State of NJ-Judiciary</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PC307704</dc:creator>
  <cp:keywords/>
  <dc:description/>
  <cp:lastModifiedBy>David A. Morton</cp:lastModifiedBy>
  <cp:revision>2</cp:revision>
  <cp:lastPrinted>2015-04-14T18:32:00Z</cp:lastPrinted>
  <dcterms:created xsi:type="dcterms:W3CDTF">2015-04-30T15:13:00Z</dcterms:created>
  <dcterms:modified xsi:type="dcterms:W3CDTF">2015-04-30T15:13:00Z</dcterms:modified>
</cp:coreProperties>
</file>