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F3" w:rsidRDefault="00B67A62" w:rsidP="000725AB">
      <w:pPr>
        <w:tabs>
          <w:tab w:val="left" w:pos="-720"/>
          <w:tab w:val="left" w:pos="0"/>
          <w:tab w:val="left" w:pos="720"/>
        </w:tabs>
        <w:spacing w:line="480" w:lineRule="auto"/>
        <w:ind w:left="1440" w:hanging="1440"/>
        <w:jc w:val="both"/>
        <w:rPr>
          <w:rFonts w:ascii="Times New Roman" w:hAnsi="Times New Roman"/>
          <w:spacing w:val="-3"/>
        </w:rPr>
      </w:pPr>
      <w:r>
        <w:rPr>
          <w:rFonts w:ascii="Times New Roman" w:hAnsi="Times New Roman"/>
          <w:b/>
          <w:bCs/>
          <w:spacing w:val="-3"/>
        </w:rPr>
        <w:t>8.45</w:t>
      </w:r>
      <w:r>
        <w:rPr>
          <w:rFonts w:ascii="Times New Roman" w:hAnsi="Times New Roman"/>
          <w:b/>
          <w:bCs/>
          <w:spacing w:val="-3"/>
        </w:rPr>
        <w:tab/>
      </w:r>
      <w:r>
        <w:rPr>
          <w:rFonts w:ascii="Times New Roman" w:hAnsi="Times New Roman"/>
          <w:b/>
          <w:bCs/>
          <w:spacing w:val="-3"/>
        </w:rPr>
        <w:tab/>
      </w:r>
      <w:r w:rsidR="009C23F3">
        <w:rPr>
          <w:rFonts w:ascii="Times New Roman" w:hAnsi="Times New Roman"/>
          <w:b/>
          <w:bCs/>
          <w:spacing w:val="-3"/>
        </w:rPr>
        <w:t>BREACH OF CONTRACT</w:t>
      </w:r>
      <w:r w:rsidR="009B0EBD">
        <w:rPr>
          <w:rFonts w:ascii="Times New Roman" w:hAnsi="Times New Roman"/>
          <w:spacing w:val="-3"/>
        </w:rPr>
        <w:t xml:space="preserve"> </w:t>
      </w:r>
      <w:r w:rsidR="000725AB">
        <w:rPr>
          <w:rFonts w:ascii="Times New Roman" w:hAnsi="Times New Roman"/>
          <w:spacing w:val="-3"/>
        </w:rPr>
        <w:t>(Approved 06/1993; Revised 12/2014)</w:t>
      </w:r>
    </w:p>
    <w:p w:rsidR="009C23F3" w:rsidRDefault="009C23F3" w:rsidP="000725AB">
      <w:pPr>
        <w:tabs>
          <w:tab w:val="left" w:pos="-720"/>
          <w:tab w:val="left" w:pos="0"/>
          <w:tab w:val="left" w:pos="720"/>
        </w:tabs>
        <w:spacing w:line="480" w:lineRule="auto"/>
        <w:ind w:left="1440" w:hanging="1440"/>
        <w:jc w:val="both"/>
        <w:rPr>
          <w:rFonts w:ascii="Times New Roman" w:hAnsi="Times New Roman"/>
          <w:spacing w:val="-3"/>
        </w:rPr>
      </w:pPr>
      <w:r>
        <w:rPr>
          <w:rFonts w:ascii="Times New Roman" w:hAnsi="Times New Roman"/>
          <w:b/>
          <w:bCs/>
          <w:spacing w:val="-3"/>
        </w:rPr>
        <w:tab/>
        <w:t>A.</w:t>
      </w:r>
      <w:r>
        <w:rPr>
          <w:rFonts w:ascii="Times New Roman" w:hAnsi="Times New Roman"/>
          <w:b/>
          <w:bCs/>
          <w:spacing w:val="-3"/>
        </w:rPr>
        <w:tab/>
        <w:t>General</w:t>
      </w:r>
    </w:p>
    <w:p w:rsidR="009C23F3" w:rsidRDefault="009C23F3" w:rsidP="000725AB">
      <w:pPr>
        <w:tabs>
          <w:tab w:val="left" w:pos="-720"/>
        </w:tabs>
        <w:spacing w:line="480" w:lineRule="auto"/>
        <w:jc w:val="both"/>
        <w:rPr>
          <w:rFonts w:ascii="Times New Roman" w:hAnsi="Times New Roman"/>
          <w:spacing w:val="-3"/>
        </w:rPr>
      </w:pPr>
      <w:r>
        <w:rPr>
          <w:rFonts w:ascii="Times New Roman" w:hAnsi="Times New Roman"/>
          <w:spacing w:val="-3"/>
        </w:rPr>
        <w:tab/>
        <w:t>A plaintiff who is awarded a verdict for breach of contract is entitled to compensatory damages for such losses as may fairly be considered to have arisen naturally from the defendant</w:t>
      </w:r>
      <w:r w:rsidR="003549DA">
        <w:rPr>
          <w:rFonts w:ascii="Times New Roman" w:hAnsi="Times New Roman"/>
          <w:spacing w:val="-3"/>
        </w:rPr>
        <w:t>’</w:t>
      </w:r>
      <w:r>
        <w:rPr>
          <w:rFonts w:ascii="Times New Roman" w:hAnsi="Times New Roman"/>
          <w:spacing w:val="-3"/>
        </w:rPr>
        <w:t xml:space="preserve">s breach of contract.  Alternatively, plaintiff may be entitled to such damages as may reasonably be supposed to have been contemplated by both parties, at the time they made the contract, as the probable result of the breach of such contract.  </w:t>
      </w:r>
    </w:p>
    <w:p w:rsidR="009C23F3" w:rsidRDefault="009C23F3">
      <w:pPr>
        <w:tabs>
          <w:tab w:val="left" w:pos="-720"/>
        </w:tabs>
        <w:spacing w:line="480" w:lineRule="auto"/>
        <w:jc w:val="both"/>
        <w:rPr>
          <w:rFonts w:ascii="Times New Roman" w:hAnsi="Times New Roman"/>
          <w:spacing w:val="-3"/>
        </w:rPr>
      </w:pPr>
      <w:r>
        <w:rPr>
          <w:rFonts w:ascii="Times New Roman" w:hAnsi="Times New Roman"/>
          <w:spacing w:val="-3"/>
        </w:rPr>
        <w:tab/>
        <w:t>Compensatory damages for breach of contract are designed under the law to place the injured party in as good a monetary position as he/she would have enjoyed if the contract had been performed as promised.</w:t>
      </w:r>
      <w:r w:rsidR="001119DA">
        <w:rPr>
          <w:rFonts w:ascii="Times New Roman" w:hAnsi="Times New Roman"/>
          <w:spacing w:val="-3"/>
        </w:rPr>
        <w:t xml:space="preserve">  What that position is depend</w:t>
      </w:r>
      <w:r w:rsidR="00DE1644">
        <w:rPr>
          <w:rFonts w:ascii="Times New Roman" w:hAnsi="Times New Roman"/>
          <w:spacing w:val="-3"/>
        </w:rPr>
        <w:t>s</w:t>
      </w:r>
      <w:r w:rsidR="001119DA">
        <w:rPr>
          <w:rFonts w:ascii="Times New Roman" w:hAnsi="Times New Roman"/>
          <w:spacing w:val="-3"/>
        </w:rPr>
        <w:t xml:space="preserve"> upon what the parties reasonably expected at the time they made the contract.  The defendant is not liable for</w:t>
      </w:r>
      <w:r w:rsidR="00DE1644">
        <w:rPr>
          <w:rFonts w:ascii="Times New Roman" w:hAnsi="Times New Roman"/>
          <w:spacing w:val="-3"/>
        </w:rPr>
        <w:t xml:space="preserve"> </w:t>
      </w:r>
      <w:r w:rsidR="001119DA">
        <w:rPr>
          <w:rFonts w:ascii="Times New Roman" w:hAnsi="Times New Roman"/>
          <w:spacing w:val="-3"/>
        </w:rPr>
        <w:t xml:space="preserve">a loss that the parties did not have reason to foresee as a probable result of any breach.  </w:t>
      </w:r>
      <w:r w:rsidR="004B4B26">
        <w:rPr>
          <w:rFonts w:ascii="Times New Roman" w:hAnsi="Times New Roman"/>
          <w:spacing w:val="-3"/>
        </w:rPr>
        <w:t>While t</w:t>
      </w:r>
      <w:r w:rsidR="001119DA">
        <w:rPr>
          <w:rFonts w:ascii="Times New Roman" w:hAnsi="Times New Roman"/>
          <w:spacing w:val="-3"/>
        </w:rPr>
        <w:t>he loss must be a reasonabl</w:t>
      </w:r>
      <w:r w:rsidR="000725AB">
        <w:rPr>
          <w:rFonts w:ascii="Times New Roman" w:hAnsi="Times New Roman"/>
          <w:spacing w:val="-3"/>
        </w:rPr>
        <w:t>y</w:t>
      </w:r>
      <w:r w:rsidR="001119DA">
        <w:rPr>
          <w:rFonts w:ascii="Times New Roman" w:hAnsi="Times New Roman"/>
          <w:spacing w:val="-3"/>
        </w:rPr>
        <w:t xml:space="preserve"> certain consequence of the breach</w:t>
      </w:r>
      <w:r w:rsidR="004B4B26">
        <w:rPr>
          <w:rFonts w:ascii="Times New Roman" w:hAnsi="Times New Roman"/>
          <w:spacing w:val="-3"/>
        </w:rPr>
        <w:t xml:space="preserve">, </w:t>
      </w:r>
      <w:r w:rsidR="001119DA">
        <w:rPr>
          <w:rFonts w:ascii="Times New Roman" w:hAnsi="Times New Roman"/>
          <w:spacing w:val="-3"/>
        </w:rPr>
        <w:t>the exact amount of the loss need not be certain.</w:t>
      </w:r>
    </w:p>
    <w:p w:rsidR="009C23F3" w:rsidRDefault="009C23F3">
      <w:pPr>
        <w:tabs>
          <w:tab w:val="left" w:pos="-720"/>
        </w:tabs>
        <w:jc w:val="both"/>
        <w:rPr>
          <w:rFonts w:ascii="Times New Roman" w:hAnsi="Times New Roman"/>
          <w:spacing w:val="-3"/>
        </w:rPr>
      </w:pPr>
      <w:r>
        <w:rPr>
          <w:rFonts w:ascii="Times New Roman" w:hAnsi="Times New Roman"/>
          <w:b/>
          <w:bCs/>
          <w:spacing w:val="-3"/>
          <w:u w:val="single"/>
        </w:rPr>
        <w:t>Cases</w:t>
      </w:r>
      <w:r>
        <w:rPr>
          <w:rFonts w:ascii="Times New Roman" w:hAnsi="Times New Roman"/>
          <w:spacing w:val="-3"/>
        </w:rPr>
        <w:t>:</w:t>
      </w:r>
    </w:p>
    <w:p w:rsidR="009C23F3" w:rsidRDefault="009C23F3">
      <w:pPr>
        <w:tabs>
          <w:tab w:val="left" w:pos="-720"/>
        </w:tabs>
        <w:jc w:val="both"/>
        <w:rPr>
          <w:rFonts w:ascii="Times New Roman" w:hAnsi="Times New Roman"/>
          <w:spacing w:val="-3"/>
        </w:rPr>
      </w:pPr>
    </w:p>
    <w:p w:rsidR="009C23F3" w:rsidRDefault="001119DA">
      <w:pPr>
        <w:tabs>
          <w:tab w:val="left" w:pos="-720"/>
        </w:tabs>
        <w:ind w:left="720"/>
        <w:jc w:val="both"/>
        <w:rPr>
          <w:rFonts w:ascii="Times New Roman" w:hAnsi="Times New Roman"/>
          <w:spacing w:val="-3"/>
        </w:rPr>
      </w:pPr>
      <w:r>
        <w:rPr>
          <w:rFonts w:ascii="Times New Roman" w:hAnsi="Times New Roman"/>
          <w:i/>
          <w:iCs/>
          <w:spacing w:val="-3"/>
        </w:rPr>
        <w:t xml:space="preserve">Coyle v. Englander’s 199 N.J. Super. 212 (App. Div. 1985); Donovan v. Bachstadt, 91 N.J. 434 (1982); </w:t>
      </w:r>
      <w:r w:rsidR="009C23F3">
        <w:rPr>
          <w:rFonts w:ascii="Times New Roman" w:hAnsi="Times New Roman"/>
          <w:i/>
          <w:iCs/>
          <w:spacing w:val="-3"/>
        </w:rPr>
        <w:t>525 Main Street Corp. v. Eagle Roofing Co.</w:t>
      </w:r>
      <w:r w:rsidR="009C23F3">
        <w:rPr>
          <w:rFonts w:ascii="Times New Roman" w:hAnsi="Times New Roman"/>
          <w:spacing w:val="-3"/>
        </w:rPr>
        <w:t xml:space="preserve">, 34 </w:t>
      </w:r>
      <w:r w:rsidR="009C23F3">
        <w:rPr>
          <w:rFonts w:ascii="Times New Roman" w:hAnsi="Times New Roman"/>
          <w:i/>
          <w:iCs/>
          <w:spacing w:val="-3"/>
        </w:rPr>
        <w:t>N.J.</w:t>
      </w:r>
      <w:r w:rsidR="009C23F3">
        <w:rPr>
          <w:rFonts w:ascii="Times New Roman" w:hAnsi="Times New Roman"/>
          <w:spacing w:val="-3"/>
        </w:rPr>
        <w:t xml:space="preserve"> 251 (1961); </w:t>
      </w:r>
      <w:r w:rsidR="009C23F3">
        <w:rPr>
          <w:rFonts w:ascii="Times New Roman" w:hAnsi="Times New Roman"/>
          <w:i/>
          <w:iCs/>
          <w:spacing w:val="-3"/>
        </w:rPr>
        <w:t>Marcus &amp; Co, Inc. v. K.L.G. Baking Co., Inc.</w:t>
      </w:r>
      <w:r w:rsidR="009C23F3">
        <w:rPr>
          <w:rFonts w:ascii="Times New Roman" w:hAnsi="Times New Roman"/>
          <w:spacing w:val="-3"/>
        </w:rPr>
        <w:t xml:space="preserve">, 122 </w:t>
      </w:r>
      <w:r w:rsidR="009C23F3">
        <w:rPr>
          <w:rFonts w:ascii="Times New Roman" w:hAnsi="Times New Roman"/>
          <w:i/>
          <w:iCs/>
          <w:spacing w:val="-3"/>
        </w:rPr>
        <w:t>N.J.L.</w:t>
      </w:r>
      <w:r w:rsidR="009C23F3">
        <w:rPr>
          <w:rFonts w:ascii="Times New Roman" w:hAnsi="Times New Roman"/>
          <w:spacing w:val="-3"/>
        </w:rPr>
        <w:t xml:space="preserve"> 202 (E. &amp; A. 1939)</w:t>
      </w:r>
      <w:r>
        <w:rPr>
          <w:rFonts w:ascii="Times New Roman" w:hAnsi="Times New Roman"/>
          <w:spacing w:val="-3"/>
        </w:rPr>
        <w:t xml:space="preserve">; </w:t>
      </w:r>
      <w:r w:rsidRPr="001119DA">
        <w:rPr>
          <w:rFonts w:ascii="Times New Roman" w:hAnsi="Times New Roman"/>
          <w:i/>
          <w:spacing w:val="-3"/>
        </w:rPr>
        <w:t>Hadley v. Baxendale</w:t>
      </w:r>
      <w:r>
        <w:rPr>
          <w:rFonts w:ascii="Times New Roman" w:hAnsi="Times New Roman"/>
          <w:spacing w:val="-3"/>
        </w:rPr>
        <w:t>, 9</w:t>
      </w:r>
      <w:r w:rsidR="009B0EBD">
        <w:rPr>
          <w:rFonts w:ascii="Times New Roman" w:hAnsi="Times New Roman"/>
          <w:spacing w:val="-3"/>
        </w:rPr>
        <w:t xml:space="preserve"> </w:t>
      </w:r>
      <w:r>
        <w:rPr>
          <w:rFonts w:ascii="Times New Roman" w:hAnsi="Times New Roman"/>
          <w:spacing w:val="-3"/>
        </w:rPr>
        <w:t>Ex. 341, 156 Eng. Rep. 145 (1854)</w:t>
      </w:r>
      <w:r w:rsidR="00860F3E">
        <w:rPr>
          <w:rFonts w:ascii="Times New Roman" w:hAnsi="Times New Roman"/>
          <w:spacing w:val="-3"/>
        </w:rPr>
        <w:t>.</w:t>
      </w:r>
      <w:bookmarkStart w:id="0" w:name="_GoBack"/>
      <w:bookmarkEnd w:id="0"/>
    </w:p>
    <w:p w:rsidR="009C23F3" w:rsidRDefault="009C23F3">
      <w:pPr>
        <w:tabs>
          <w:tab w:val="left" w:pos="-720"/>
        </w:tabs>
        <w:spacing w:line="480" w:lineRule="auto"/>
        <w:jc w:val="both"/>
        <w:rPr>
          <w:rFonts w:ascii="Times New Roman" w:hAnsi="Times New Roman"/>
          <w:spacing w:val="-3"/>
        </w:rPr>
      </w:pPr>
    </w:p>
    <w:p w:rsidR="000725AB" w:rsidRDefault="000725AB">
      <w:pPr>
        <w:tabs>
          <w:tab w:val="left" w:pos="-720"/>
        </w:tabs>
        <w:spacing w:line="480" w:lineRule="auto"/>
        <w:jc w:val="both"/>
        <w:rPr>
          <w:rFonts w:ascii="Times New Roman" w:hAnsi="Times New Roman"/>
          <w:spacing w:val="-3"/>
        </w:rPr>
      </w:pPr>
    </w:p>
    <w:p w:rsidR="009C23F3" w:rsidRDefault="009F7A5C">
      <w:pPr>
        <w:tabs>
          <w:tab w:val="left" w:pos="-720"/>
        </w:tabs>
        <w:spacing w:line="480" w:lineRule="auto"/>
        <w:jc w:val="center"/>
        <w:rPr>
          <w:rFonts w:ascii="Times New Roman" w:hAnsi="Times New Roman"/>
          <w:i/>
          <w:iCs/>
          <w:spacing w:val="-3"/>
        </w:rPr>
      </w:pPr>
      <w:r>
        <w:rPr>
          <w:rFonts w:ascii="Times New Roman" w:hAnsi="Times New Roman"/>
          <w:b/>
          <w:bCs/>
          <w:i/>
          <w:iCs/>
          <w:spacing w:val="-3"/>
        </w:rPr>
        <w:lastRenderedPageBreak/>
        <w:t>NOTE TO JUDGE</w:t>
      </w:r>
    </w:p>
    <w:p w:rsidR="009C23F3" w:rsidRDefault="009C23F3">
      <w:pPr>
        <w:tabs>
          <w:tab w:val="left" w:pos="-720"/>
        </w:tabs>
        <w:ind w:left="720"/>
        <w:jc w:val="both"/>
        <w:rPr>
          <w:rFonts w:ascii="Times New Roman" w:hAnsi="Times New Roman"/>
          <w:spacing w:val="-3"/>
        </w:rPr>
      </w:pPr>
      <w:r>
        <w:rPr>
          <w:rFonts w:ascii="Times New Roman" w:hAnsi="Times New Roman"/>
          <w:spacing w:val="-3"/>
        </w:rPr>
        <w:t xml:space="preserve">There are specific subsidiary rules of damages formulated for various situations which are subordinate to the broad rule of damages expressed above.  These subsidiary rules of damages as well as the broad rule are guides requiring considered judicial discretion as to applicability in a particular situation.  </w:t>
      </w:r>
      <w:r w:rsidRPr="009F7A5C">
        <w:rPr>
          <w:rFonts w:ascii="Times New Roman" w:hAnsi="Times New Roman"/>
          <w:i/>
          <w:spacing w:val="-3"/>
        </w:rPr>
        <w:t>See</w:t>
      </w:r>
      <w:r>
        <w:rPr>
          <w:rFonts w:ascii="Times New Roman" w:hAnsi="Times New Roman"/>
          <w:spacing w:val="-3"/>
        </w:rPr>
        <w:t xml:space="preserve"> </w:t>
      </w:r>
      <w:r w:rsidRPr="009F7A5C">
        <w:rPr>
          <w:rFonts w:ascii="Times New Roman" w:hAnsi="Times New Roman"/>
          <w:i/>
          <w:iCs/>
          <w:spacing w:val="-3"/>
        </w:rPr>
        <w:t>525</w:t>
      </w:r>
      <w:r>
        <w:rPr>
          <w:rFonts w:ascii="Times New Roman" w:hAnsi="Times New Roman"/>
          <w:i/>
          <w:iCs/>
          <w:spacing w:val="-3"/>
        </w:rPr>
        <w:t xml:space="preserve"> Main Street Corp. V. Eagle Roofing Co.</w:t>
      </w:r>
      <w:r>
        <w:rPr>
          <w:rFonts w:ascii="Times New Roman" w:hAnsi="Times New Roman"/>
          <w:spacing w:val="-3"/>
        </w:rPr>
        <w:t xml:space="preserve">, 34 </w:t>
      </w:r>
      <w:r>
        <w:rPr>
          <w:rFonts w:ascii="Times New Roman" w:hAnsi="Times New Roman"/>
          <w:i/>
          <w:iCs/>
          <w:spacing w:val="-3"/>
        </w:rPr>
        <w:t>N.J.</w:t>
      </w:r>
      <w:r>
        <w:rPr>
          <w:rFonts w:ascii="Times New Roman" w:hAnsi="Times New Roman"/>
          <w:spacing w:val="-3"/>
        </w:rPr>
        <w:t xml:space="preserve"> 251 (1961).</w:t>
      </w:r>
    </w:p>
    <w:p w:rsidR="00A3453B" w:rsidRDefault="00A3453B" w:rsidP="009F7A5C">
      <w:pPr>
        <w:tabs>
          <w:tab w:val="left" w:pos="-720"/>
        </w:tabs>
        <w:ind w:left="720"/>
        <w:jc w:val="both"/>
        <w:rPr>
          <w:rFonts w:ascii="Times New Roman" w:hAnsi="Times New Roman"/>
          <w:spacing w:val="-3"/>
        </w:rPr>
      </w:pPr>
    </w:p>
    <w:p w:rsidR="009C23F3" w:rsidRDefault="009C23F3" w:rsidP="009F7A5C">
      <w:pPr>
        <w:tabs>
          <w:tab w:val="left" w:pos="-720"/>
        </w:tabs>
        <w:ind w:left="720"/>
        <w:jc w:val="both"/>
        <w:rPr>
          <w:rFonts w:ascii="Times New Roman" w:hAnsi="Times New Roman"/>
          <w:spacing w:val="-3"/>
        </w:rPr>
      </w:pPr>
      <w:r>
        <w:rPr>
          <w:rFonts w:ascii="Times New Roman" w:hAnsi="Times New Roman"/>
          <w:spacing w:val="-3"/>
        </w:rPr>
        <w:t xml:space="preserve">As to building contracts, the disappointed owner may recover the costs of completing the promised performance or making necessary repairs, unless under the facts it is impossible to do so or the costs of completion or repairs would constitute unreasonable economic waste, in which event the measure of damages is the difference in value formula.  </w:t>
      </w:r>
      <w:r>
        <w:rPr>
          <w:rFonts w:ascii="Times New Roman" w:hAnsi="Times New Roman"/>
          <w:i/>
          <w:iCs/>
          <w:spacing w:val="-3"/>
        </w:rPr>
        <w:t>Restatement, Contracts, Sec.</w:t>
      </w:r>
      <w:r>
        <w:rPr>
          <w:rFonts w:ascii="Times New Roman" w:hAnsi="Times New Roman"/>
          <w:spacing w:val="-3"/>
        </w:rPr>
        <w:t xml:space="preserve">, 346 (1)(a).  In the case of </w:t>
      </w:r>
      <w:r>
        <w:rPr>
          <w:rFonts w:ascii="Times New Roman" w:hAnsi="Times New Roman"/>
          <w:i/>
          <w:iCs/>
          <w:spacing w:val="-3"/>
        </w:rPr>
        <w:t>Price v. B. Construction Co.</w:t>
      </w:r>
      <w:r>
        <w:rPr>
          <w:rFonts w:ascii="Times New Roman" w:hAnsi="Times New Roman"/>
          <w:spacing w:val="-3"/>
        </w:rPr>
        <w:t xml:space="preserve">, 77 </w:t>
      </w:r>
      <w:r>
        <w:rPr>
          <w:rFonts w:ascii="Times New Roman" w:hAnsi="Times New Roman"/>
          <w:i/>
          <w:iCs/>
          <w:spacing w:val="-3"/>
        </w:rPr>
        <w:t>N.J.</w:t>
      </w:r>
      <w:r>
        <w:rPr>
          <w:rFonts w:ascii="Times New Roman" w:hAnsi="Times New Roman"/>
          <w:spacing w:val="-3"/>
        </w:rPr>
        <w:t xml:space="preserve"> </w:t>
      </w:r>
      <w:r>
        <w:rPr>
          <w:rFonts w:ascii="Times New Roman" w:hAnsi="Times New Roman"/>
          <w:i/>
          <w:iCs/>
          <w:spacing w:val="-3"/>
        </w:rPr>
        <w:t>Super.</w:t>
      </w:r>
      <w:r>
        <w:rPr>
          <w:rFonts w:ascii="Times New Roman" w:hAnsi="Times New Roman"/>
          <w:spacing w:val="-3"/>
        </w:rPr>
        <w:t xml:space="preserve"> 485 (App. Div. 1962) involving a clause in a contract warranting that the cellar in a new home being sold would be free from water for a period of one year from date of closing title, the court concluded that the parties bargained (1) not for a one-year result, but (2) for work of greater expectable life but supported by a guarantee for a portion of that period; and that the proper measure of damages was the </w:t>
      </w:r>
      <w:r w:rsidR="003549DA">
        <w:rPr>
          <w:rFonts w:ascii="Times New Roman" w:hAnsi="Times New Roman"/>
          <w:spacing w:val="-3"/>
        </w:rPr>
        <w:t>“</w:t>
      </w:r>
      <w:r>
        <w:rPr>
          <w:rFonts w:ascii="Times New Roman" w:hAnsi="Times New Roman"/>
          <w:spacing w:val="-3"/>
        </w:rPr>
        <w:t>entirety of such sums of money as were required to be expended by (plaintiffs) in correcting the defect complained of.</w:t>
      </w:r>
      <w:r w:rsidR="003549DA">
        <w:rPr>
          <w:rFonts w:ascii="Times New Roman" w:hAnsi="Times New Roman"/>
          <w:spacing w:val="-3"/>
        </w:rPr>
        <w:t>”</w:t>
      </w:r>
    </w:p>
    <w:p w:rsidR="009C23F3" w:rsidRDefault="009C23F3" w:rsidP="009F7A5C">
      <w:pPr>
        <w:tabs>
          <w:tab w:val="left" w:pos="-720"/>
        </w:tabs>
        <w:jc w:val="both"/>
        <w:rPr>
          <w:rFonts w:ascii="Times New Roman" w:hAnsi="Times New Roman"/>
          <w:spacing w:val="-3"/>
        </w:rPr>
      </w:pPr>
    </w:p>
    <w:p w:rsidR="009C23F3" w:rsidRDefault="009C23F3" w:rsidP="009F7A5C">
      <w:pPr>
        <w:tabs>
          <w:tab w:val="left" w:pos="-720"/>
        </w:tabs>
        <w:ind w:left="720"/>
        <w:jc w:val="both"/>
        <w:rPr>
          <w:rFonts w:ascii="Times New Roman" w:hAnsi="Times New Roman"/>
          <w:spacing w:val="-3"/>
        </w:rPr>
      </w:pPr>
      <w:r>
        <w:rPr>
          <w:rFonts w:ascii="Times New Roman" w:hAnsi="Times New Roman"/>
          <w:spacing w:val="-3"/>
        </w:rPr>
        <w:t xml:space="preserve">In cases involving a breach of contract for purchase of real estate there are various elements of damages.  The charge must be molded to the facts of each case.  </w:t>
      </w:r>
      <w:r w:rsidRPr="009F7A5C">
        <w:rPr>
          <w:rFonts w:ascii="Times New Roman" w:hAnsi="Times New Roman"/>
          <w:i/>
          <w:spacing w:val="-3"/>
        </w:rPr>
        <w:t>See</w:t>
      </w:r>
      <w:r>
        <w:rPr>
          <w:rFonts w:ascii="Times New Roman" w:hAnsi="Times New Roman"/>
          <w:spacing w:val="-3"/>
        </w:rPr>
        <w:t xml:space="preserve"> </w:t>
      </w:r>
      <w:r>
        <w:rPr>
          <w:rFonts w:ascii="Times New Roman" w:hAnsi="Times New Roman"/>
          <w:i/>
          <w:iCs/>
          <w:spacing w:val="-3"/>
        </w:rPr>
        <w:t>Donovan v. Bachstadt</w:t>
      </w:r>
      <w:r>
        <w:rPr>
          <w:rFonts w:ascii="Times New Roman" w:hAnsi="Times New Roman"/>
          <w:spacing w:val="-3"/>
        </w:rPr>
        <w:t xml:space="preserve">, 91 </w:t>
      </w:r>
      <w:r>
        <w:rPr>
          <w:rFonts w:ascii="Times New Roman" w:hAnsi="Times New Roman"/>
          <w:i/>
          <w:iCs/>
          <w:spacing w:val="-3"/>
        </w:rPr>
        <w:t>N.J.</w:t>
      </w:r>
      <w:r>
        <w:rPr>
          <w:rFonts w:ascii="Times New Roman" w:hAnsi="Times New Roman"/>
          <w:spacing w:val="-3"/>
        </w:rPr>
        <w:t xml:space="preserve"> 434 (1982).</w:t>
      </w:r>
    </w:p>
    <w:p w:rsidR="003549DA" w:rsidRDefault="003549DA" w:rsidP="003549DA">
      <w:pPr>
        <w:tabs>
          <w:tab w:val="left" w:pos="-720"/>
        </w:tabs>
        <w:spacing w:after="240"/>
        <w:jc w:val="both"/>
        <w:rPr>
          <w:rFonts w:ascii="Times New Roman" w:hAnsi="Times New Roman"/>
          <w:spacing w:val="-3"/>
        </w:rPr>
      </w:pPr>
    </w:p>
    <w:p w:rsidR="009C23F3" w:rsidRDefault="009C23F3">
      <w:pPr>
        <w:tabs>
          <w:tab w:val="left" w:pos="-720"/>
          <w:tab w:val="left" w:pos="0"/>
          <w:tab w:val="left" w:pos="720"/>
        </w:tabs>
        <w:spacing w:after="240" w:line="480" w:lineRule="auto"/>
        <w:ind w:left="1440" w:hanging="1440"/>
        <w:jc w:val="both"/>
        <w:rPr>
          <w:rFonts w:ascii="Times New Roman" w:hAnsi="Times New Roman"/>
          <w:spacing w:val="-3"/>
        </w:rPr>
      </w:pPr>
      <w:r>
        <w:rPr>
          <w:rFonts w:ascii="Times New Roman" w:hAnsi="Times New Roman"/>
          <w:b/>
          <w:bCs/>
          <w:spacing w:val="-3"/>
        </w:rPr>
        <w:tab/>
        <w:t>B.</w:t>
      </w:r>
      <w:r>
        <w:rPr>
          <w:rFonts w:ascii="Times New Roman" w:hAnsi="Times New Roman"/>
          <w:b/>
          <w:bCs/>
          <w:spacing w:val="-3"/>
        </w:rPr>
        <w:tab/>
        <w:t xml:space="preserve">Loss </w:t>
      </w:r>
      <w:r w:rsidR="009F7A5C">
        <w:rPr>
          <w:rFonts w:ascii="Times New Roman" w:hAnsi="Times New Roman"/>
          <w:b/>
          <w:bCs/>
          <w:spacing w:val="-3"/>
        </w:rPr>
        <w:t>o</w:t>
      </w:r>
      <w:r>
        <w:rPr>
          <w:rFonts w:ascii="Times New Roman" w:hAnsi="Times New Roman"/>
          <w:b/>
          <w:bCs/>
          <w:spacing w:val="-3"/>
        </w:rPr>
        <w:t>f Profits</w:t>
      </w:r>
    </w:p>
    <w:p w:rsidR="009C23F3" w:rsidRDefault="009C23F3">
      <w:pPr>
        <w:tabs>
          <w:tab w:val="left" w:pos="-720"/>
        </w:tabs>
        <w:spacing w:line="480" w:lineRule="auto"/>
        <w:jc w:val="both"/>
        <w:rPr>
          <w:rFonts w:ascii="Times New Roman" w:hAnsi="Times New Roman"/>
          <w:spacing w:val="-3"/>
        </w:rPr>
      </w:pPr>
      <w:r>
        <w:rPr>
          <w:rFonts w:ascii="Times New Roman" w:hAnsi="Times New Roman"/>
          <w:spacing w:val="-3"/>
        </w:rPr>
        <w:tab/>
        <w:t>If you should determine that the plaintiff is entitled to a verdict, the law provides that the plaintiff is to be reasonably compensated for any damage sustained by him/her which was proximately caused by the defendant</w:t>
      </w:r>
      <w:r w:rsidR="003549DA">
        <w:rPr>
          <w:rFonts w:ascii="Times New Roman" w:hAnsi="Times New Roman"/>
          <w:spacing w:val="-3"/>
        </w:rPr>
        <w:t>’</w:t>
      </w:r>
      <w:r>
        <w:rPr>
          <w:rFonts w:ascii="Times New Roman" w:hAnsi="Times New Roman"/>
          <w:spacing w:val="-3"/>
        </w:rPr>
        <w:t xml:space="preserve">s conduct in breach of the contract.  In arriving at the amount of the award, you should include all damages suffered by the plaintiff because of lost profits within the reasonable contemplation of the parties at </w:t>
      </w:r>
      <w:r>
        <w:rPr>
          <w:rFonts w:ascii="Times New Roman" w:hAnsi="Times New Roman"/>
          <w:spacing w:val="-3"/>
        </w:rPr>
        <w:lastRenderedPageBreak/>
        <w:t>the time of the making of the contract; that is to say, profits which the plaintiff would have made but for the breach of the contract by the defendant.</w:t>
      </w:r>
    </w:p>
    <w:p w:rsidR="009C23F3" w:rsidRDefault="009C23F3">
      <w:pPr>
        <w:keepNext/>
        <w:keepLines/>
        <w:tabs>
          <w:tab w:val="left" w:pos="-720"/>
        </w:tabs>
        <w:spacing w:line="480" w:lineRule="auto"/>
        <w:jc w:val="both"/>
        <w:rPr>
          <w:rFonts w:ascii="Times New Roman" w:hAnsi="Times New Roman"/>
          <w:spacing w:val="-3"/>
        </w:rPr>
      </w:pPr>
      <w:r>
        <w:rPr>
          <w:rFonts w:ascii="Times New Roman" w:hAnsi="Times New Roman"/>
          <w:spacing w:val="-3"/>
        </w:rPr>
        <w:tab/>
        <w:t>If you find that the plaintiff has i</w:t>
      </w:r>
      <w:r w:rsidR="009F7A5C">
        <w:rPr>
          <w:rFonts w:ascii="Times New Roman" w:hAnsi="Times New Roman"/>
          <w:spacing w:val="-3"/>
        </w:rPr>
        <w:t>n fact suffered loss of profits</w:t>
      </w:r>
      <w:r>
        <w:rPr>
          <w:rFonts w:ascii="Times New Roman" w:hAnsi="Times New Roman"/>
          <w:spacing w:val="-3"/>
        </w:rPr>
        <w:t xml:space="preserve"> as a result of the defendant</w:t>
      </w:r>
      <w:r w:rsidR="003549DA">
        <w:rPr>
          <w:rFonts w:ascii="Times New Roman" w:hAnsi="Times New Roman"/>
          <w:spacing w:val="-3"/>
        </w:rPr>
        <w:t>’</w:t>
      </w:r>
      <w:r>
        <w:rPr>
          <w:rFonts w:ascii="Times New Roman" w:hAnsi="Times New Roman"/>
          <w:spacing w:val="-3"/>
        </w:rPr>
        <w:t>s breach of contract, then the fact that the precise amount of plaintiff</w:t>
      </w:r>
      <w:r w:rsidR="003549DA">
        <w:rPr>
          <w:rFonts w:ascii="Times New Roman" w:hAnsi="Times New Roman"/>
          <w:spacing w:val="-3"/>
        </w:rPr>
        <w:t>’</w:t>
      </w:r>
      <w:r>
        <w:rPr>
          <w:rFonts w:ascii="Times New Roman" w:hAnsi="Times New Roman"/>
          <w:spacing w:val="-3"/>
        </w:rPr>
        <w:t>s damages may be difficult to ascertain should not affect the plaintiff</w:t>
      </w:r>
      <w:r w:rsidR="003549DA">
        <w:rPr>
          <w:rFonts w:ascii="Times New Roman" w:hAnsi="Times New Roman"/>
          <w:spacing w:val="-3"/>
        </w:rPr>
        <w:t>’</w:t>
      </w:r>
      <w:r>
        <w:rPr>
          <w:rFonts w:ascii="Times New Roman" w:hAnsi="Times New Roman"/>
          <w:spacing w:val="-3"/>
        </w:rPr>
        <w:t>s recovery.  The plaintiff is to be awarded damages for such loss of profits as is capable of determination with reasonable certainty.</w:t>
      </w:r>
    </w:p>
    <w:p w:rsidR="009C23F3" w:rsidRDefault="009C23F3">
      <w:pPr>
        <w:tabs>
          <w:tab w:val="left" w:pos="-720"/>
        </w:tabs>
        <w:spacing w:line="480" w:lineRule="auto"/>
        <w:jc w:val="both"/>
        <w:rPr>
          <w:rFonts w:ascii="Times New Roman" w:hAnsi="Times New Roman"/>
          <w:spacing w:val="-3"/>
        </w:rPr>
      </w:pPr>
      <w:r>
        <w:rPr>
          <w:rFonts w:ascii="Times New Roman" w:hAnsi="Times New Roman"/>
          <w:spacing w:val="-3"/>
        </w:rPr>
        <w:tab/>
        <w:t>In arriving at the amount of any loss of profits sustained by the plaintiff, you may consider any past earnings of the plaintiff in his/her business, as well as any other evidence bearing upon the issue.</w:t>
      </w:r>
    </w:p>
    <w:p w:rsidR="009C23F3" w:rsidRDefault="009C23F3">
      <w:pPr>
        <w:tabs>
          <w:tab w:val="left" w:pos="-720"/>
        </w:tabs>
        <w:spacing w:line="480" w:lineRule="auto"/>
        <w:jc w:val="both"/>
        <w:rPr>
          <w:rFonts w:ascii="Times New Roman" w:hAnsi="Times New Roman"/>
          <w:spacing w:val="-3"/>
        </w:rPr>
      </w:pPr>
    </w:p>
    <w:p w:rsidR="009C23F3" w:rsidRDefault="009C23F3">
      <w:pPr>
        <w:tabs>
          <w:tab w:val="left" w:pos="-720"/>
        </w:tabs>
        <w:spacing w:line="480" w:lineRule="auto"/>
        <w:jc w:val="both"/>
        <w:rPr>
          <w:rFonts w:ascii="Times New Roman" w:hAnsi="Times New Roman"/>
          <w:spacing w:val="-3"/>
        </w:rPr>
      </w:pPr>
      <w:r>
        <w:rPr>
          <w:rFonts w:ascii="Times New Roman" w:hAnsi="Times New Roman"/>
          <w:b/>
          <w:bCs/>
          <w:spacing w:val="-3"/>
          <w:u w:val="single"/>
        </w:rPr>
        <w:t>Cases</w:t>
      </w:r>
      <w:r>
        <w:rPr>
          <w:rFonts w:ascii="Times New Roman" w:hAnsi="Times New Roman"/>
          <w:spacing w:val="-3"/>
        </w:rPr>
        <w:t>:</w:t>
      </w:r>
    </w:p>
    <w:p w:rsidR="009C23F3" w:rsidRDefault="009C23F3">
      <w:pPr>
        <w:tabs>
          <w:tab w:val="left" w:pos="-720"/>
        </w:tabs>
        <w:spacing w:after="240"/>
        <w:ind w:left="720"/>
        <w:jc w:val="both"/>
        <w:rPr>
          <w:rFonts w:ascii="Times New Roman" w:hAnsi="Times New Roman"/>
          <w:spacing w:val="-3"/>
        </w:rPr>
      </w:pPr>
      <w:r>
        <w:rPr>
          <w:rFonts w:ascii="Times New Roman" w:hAnsi="Times New Roman"/>
          <w:i/>
          <w:iCs/>
          <w:spacing w:val="-3"/>
        </w:rPr>
        <w:t>Van Dusen Aircraft Supplies, Inc. v. Terminal Const. Corp.</w:t>
      </w:r>
      <w:r>
        <w:rPr>
          <w:rFonts w:ascii="Times New Roman" w:hAnsi="Times New Roman"/>
          <w:spacing w:val="-3"/>
        </w:rPr>
        <w:t xml:space="preserve">, 3 </w:t>
      </w:r>
      <w:r>
        <w:rPr>
          <w:rFonts w:ascii="Times New Roman" w:hAnsi="Times New Roman"/>
          <w:i/>
          <w:iCs/>
          <w:spacing w:val="-3"/>
        </w:rPr>
        <w:t>N.J.</w:t>
      </w:r>
      <w:r>
        <w:rPr>
          <w:rFonts w:ascii="Times New Roman" w:hAnsi="Times New Roman"/>
          <w:spacing w:val="-3"/>
        </w:rPr>
        <w:t xml:space="preserve"> 321 (1949); </w:t>
      </w:r>
      <w:r>
        <w:rPr>
          <w:rFonts w:ascii="Times New Roman" w:hAnsi="Times New Roman"/>
          <w:i/>
          <w:iCs/>
          <w:spacing w:val="-3"/>
        </w:rPr>
        <w:t>Feldman v. Jacob Brasfman &amp; Son, Inc.</w:t>
      </w:r>
      <w:r>
        <w:rPr>
          <w:rFonts w:ascii="Times New Roman" w:hAnsi="Times New Roman"/>
          <w:spacing w:val="-3"/>
        </w:rPr>
        <w:t xml:space="preserve">, 111 </w:t>
      </w:r>
      <w:r>
        <w:rPr>
          <w:rFonts w:ascii="Times New Roman" w:hAnsi="Times New Roman"/>
          <w:i/>
          <w:iCs/>
          <w:spacing w:val="-3"/>
        </w:rPr>
        <w:t>N.J.L.</w:t>
      </w:r>
      <w:r>
        <w:rPr>
          <w:rFonts w:ascii="Times New Roman" w:hAnsi="Times New Roman"/>
          <w:spacing w:val="-3"/>
        </w:rPr>
        <w:t xml:space="preserve"> 37 (E. &amp; A. 1933); </w:t>
      </w:r>
      <w:r>
        <w:rPr>
          <w:rFonts w:ascii="Times New Roman" w:hAnsi="Times New Roman"/>
          <w:i/>
          <w:iCs/>
          <w:spacing w:val="-3"/>
        </w:rPr>
        <w:t>Interchemical Corp. v. Uncas Printing &amp; Fin. Co., Inc.</w:t>
      </w:r>
      <w:r>
        <w:rPr>
          <w:rFonts w:ascii="Times New Roman" w:hAnsi="Times New Roman"/>
          <w:spacing w:val="-3"/>
        </w:rPr>
        <w:t xml:space="preserve">, 39 </w:t>
      </w:r>
      <w:r>
        <w:rPr>
          <w:rFonts w:ascii="Times New Roman" w:hAnsi="Times New Roman"/>
          <w:i/>
          <w:iCs/>
          <w:spacing w:val="-3"/>
        </w:rPr>
        <w:t>N.J.</w:t>
      </w:r>
      <w:r>
        <w:rPr>
          <w:rFonts w:ascii="Times New Roman" w:hAnsi="Times New Roman"/>
          <w:spacing w:val="-3"/>
        </w:rPr>
        <w:t xml:space="preserve"> </w:t>
      </w:r>
      <w:r>
        <w:rPr>
          <w:rFonts w:ascii="Times New Roman" w:hAnsi="Times New Roman"/>
          <w:i/>
          <w:iCs/>
          <w:spacing w:val="-3"/>
        </w:rPr>
        <w:t>Super</w:t>
      </w:r>
      <w:r>
        <w:rPr>
          <w:rFonts w:ascii="Times New Roman" w:hAnsi="Times New Roman"/>
          <w:spacing w:val="-3"/>
        </w:rPr>
        <w:t xml:space="preserve">. 318, 329 (App. Div. 1956) a defendant whose wrongful act creates the difficulty may not complain that the amount of damages cannot be accurately fixed; </w:t>
      </w:r>
      <w:r>
        <w:rPr>
          <w:rFonts w:ascii="Times New Roman" w:hAnsi="Times New Roman"/>
          <w:i/>
          <w:iCs/>
          <w:spacing w:val="-3"/>
        </w:rPr>
        <w:t>Casler v. Weber</w:t>
      </w:r>
      <w:r>
        <w:rPr>
          <w:rFonts w:ascii="Times New Roman" w:hAnsi="Times New Roman"/>
          <w:spacing w:val="-3"/>
        </w:rPr>
        <w:t xml:space="preserve">, 27 </w:t>
      </w:r>
      <w:r>
        <w:rPr>
          <w:rFonts w:ascii="Times New Roman" w:hAnsi="Times New Roman"/>
          <w:i/>
          <w:iCs/>
          <w:spacing w:val="-3"/>
        </w:rPr>
        <w:t>N.J.</w:t>
      </w:r>
      <w:r>
        <w:rPr>
          <w:rFonts w:ascii="Times New Roman" w:hAnsi="Times New Roman"/>
          <w:spacing w:val="-3"/>
        </w:rPr>
        <w:t xml:space="preserve"> </w:t>
      </w:r>
      <w:r>
        <w:rPr>
          <w:rFonts w:ascii="Times New Roman" w:hAnsi="Times New Roman"/>
          <w:i/>
          <w:iCs/>
          <w:spacing w:val="-3"/>
        </w:rPr>
        <w:t>Super.</w:t>
      </w:r>
      <w:r>
        <w:rPr>
          <w:rFonts w:ascii="Times New Roman" w:hAnsi="Times New Roman"/>
          <w:spacing w:val="-3"/>
        </w:rPr>
        <w:t xml:space="preserve"> 396 (App. Div. 1953); </w:t>
      </w:r>
      <w:r>
        <w:rPr>
          <w:rFonts w:ascii="Times New Roman" w:hAnsi="Times New Roman"/>
          <w:i/>
          <w:iCs/>
          <w:spacing w:val="-3"/>
        </w:rPr>
        <w:t xml:space="preserve">De Ponte v. Mutual Contracting </w:t>
      </w:r>
      <w:smartTag w:uri="urn:schemas-microsoft-com:office:smarttags" w:element="place">
        <w:r>
          <w:rPr>
            <w:rFonts w:ascii="Times New Roman" w:hAnsi="Times New Roman"/>
            <w:i/>
            <w:iCs/>
            <w:spacing w:val="-3"/>
          </w:rPr>
          <w:t>Co.</w:t>
        </w:r>
      </w:smartTag>
      <w:r>
        <w:rPr>
          <w:rFonts w:ascii="Times New Roman" w:hAnsi="Times New Roman"/>
          <w:spacing w:val="-3"/>
        </w:rPr>
        <w:t xml:space="preserve">, 18 </w:t>
      </w:r>
      <w:r>
        <w:rPr>
          <w:rFonts w:ascii="Times New Roman" w:hAnsi="Times New Roman"/>
          <w:i/>
          <w:iCs/>
          <w:spacing w:val="-3"/>
        </w:rPr>
        <w:t>N.J.</w:t>
      </w:r>
      <w:r>
        <w:rPr>
          <w:rFonts w:ascii="Times New Roman" w:hAnsi="Times New Roman"/>
          <w:spacing w:val="-3"/>
        </w:rPr>
        <w:t xml:space="preserve"> </w:t>
      </w:r>
      <w:r>
        <w:rPr>
          <w:rFonts w:ascii="Times New Roman" w:hAnsi="Times New Roman"/>
          <w:i/>
          <w:iCs/>
          <w:spacing w:val="-3"/>
        </w:rPr>
        <w:t>Super.</w:t>
      </w:r>
      <w:r>
        <w:rPr>
          <w:rFonts w:ascii="Times New Roman" w:hAnsi="Times New Roman"/>
          <w:spacing w:val="-3"/>
        </w:rPr>
        <w:t xml:space="preserve"> 142, 147, 148 (App. Div. 1952); </w:t>
      </w:r>
      <w:r>
        <w:rPr>
          <w:rFonts w:ascii="Times New Roman" w:hAnsi="Times New Roman"/>
          <w:i/>
          <w:iCs/>
          <w:spacing w:val="-3"/>
        </w:rPr>
        <w:t>Restatement, Contracts, Sec</w:t>
      </w:r>
      <w:r>
        <w:rPr>
          <w:rFonts w:ascii="Times New Roman" w:hAnsi="Times New Roman"/>
          <w:spacing w:val="-3"/>
        </w:rPr>
        <w:t>. 331 (</w:t>
      </w:r>
      <w:r w:rsidR="003549DA">
        <w:rPr>
          <w:rFonts w:ascii="Times New Roman" w:hAnsi="Times New Roman"/>
          <w:spacing w:val="-3"/>
        </w:rPr>
        <w:t>“</w:t>
      </w:r>
      <w:r>
        <w:rPr>
          <w:rFonts w:ascii="Times New Roman" w:hAnsi="Times New Roman"/>
          <w:spacing w:val="-3"/>
        </w:rPr>
        <w:t>Where the evidence does not afford a sufficient basis for a direct estimation of profits, but the breach is one that prevents the use and operation of property from which profits would have been made, damages may be measured by the rental value of the property or by interest on the value of the property.</w:t>
      </w:r>
      <w:r w:rsidR="003549DA">
        <w:rPr>
          <w:rFonts w:ascii="Times New Roman" w:hAnsi="Times New Roman"/>
          <w:spacing w:val="-3"/>
        </w:rPr>
        <w:t>”</w:t>
      </w:r>
      <w:r>
        <w:rPr>
          <w:rFonts w:ascii="Times New Roman" w:hAnsi="Times New Roman"/>
          <w:spacing w:val="-3"/>
        </w:rPr>
        <w:t>)</w:t>
      </w:r>
    </w:p>
    <w:p w:rsidR="003549DA" w:rsidRDefault="003549DA" w:rsidP="003549DA">
      <w:pPr>
        <w:tabs>
          <w:tab w:val="left" w:pos="-720"/>
        </w:tabs>
        <w:spacing w:after="240"/>
        <w:jc w:val="both"/>
        <w:rPr>
          <w:rFonts w:ascii="Times New Roman" w:hAnsi="Times New Roman"/>
          <w:spacing w:val="-3"/>
        </w:rPr>
      </w:pPr>
    </w:p>
    <w:p w:rsidR="009C23F3" w:rsidRDefault="009C23F3" w:rsidP="003549DA">
      <w:pPr>
        <w:keepNext/>
        <w:keepLines/>
        <w:widowControl/>
        <w:tabs>
          <w:tab w:val="left" w:pos="-720"/>
          <w:tab w:val="left" w:pos="0"/>
          <w:tab w:val="left" w:pos="720"/>
        </w:tabs>
        <w:spacing w:after="240" w:line="480" w:lineRule="auto"/>
        <w:ind w:left="1440" w:hanging="1440"/>
        <w:jc w:val="both"/>
        <w:rPr>
          <w:rFonts w:ascii="Times New Roman" w:hAnsi="Times New Roman"/>
          <w:spacing w:val="-3"/>
        </w:rPr>
      </w:pPr>
      <w:r>
        <w:rPr>
          <w:rFonts w:ascii="Times New Roman" w:hAnsi="Times New Roman"/>
          <w:b/>
          <w:bCs/>
          <w:spacing w:val="-3"/>
        </w:rPr>
        <w:lastRenderedPageBreak/>
        <w:tab/>
        <w:t>C.</w:t>
      </w:r>
      <w:r>
        <w:rPr>
          <w:rFonts w:ascii="Times New Roman" w:hAnsi="Times New Roman"/>
          <w:b/>
          <w:bCs/>
          <w:spacing w:val="-3"/>
        </w:rPr>
        <w:tab/>
        <w:t xml:space="preserve">Mitigation </w:t>
      </w:r>
      <w:r w:rsidR="009F7A5C">
        <w:rPr>
          <w:rFonts w:ascii="Times New Roman" w:hAnsi="Times New Roman"/>
          <w:b/>
          <w:bCs/>
          <w:spacing w:val="-3"/>
        </w:rPr>
        <w:t>o</w:t>
      </w:r>
      <w:r>
        <w:rPr>
          <w:rFonts w:ascii="Times New Roman" w:hAnsi="Times New Roman"/>
          <w:b/>
          <w:bCs/>
          <w:spacing w:val="-3"/>
        </w:rPr>
        <w:t>f Damages</w:t>
      </w:r>
    </w:p>
    <w:p w:rsidR="009C23F3" w:rsidRDefault="009C23F3" w:rsidP="003549DA">
      <w:pPr>
        <w:keepNext/>
        <w:keepLines/>
        <w:tabs>
          <w:tab w:val="left" w:pos="-720"/>
        </w:tabs>
        <w:spacing w:line="480" w:lineRule="auto"/>
        <w:jc w:val="both"/>
        <w:rPr>
          <w:rFonts w:ascii="Times New Roman" w:hAnsi="Times New Roman"/>
          <w:spacing w:val="-3"/>
        </w:rPr>
      </w:pPr>
      <w:r>
        <w:rPr>
          <w:rFonts w:ascii="Times New Roman" w:hAnsi="Times New Roman"/>
          <w:spacing w:val="-3"/>
        </w:rPr>
        <w:tab/>
        <w:t>If you find that the defendant [breached the contract</w:t>
      </w:r>
      <w:r>
        <w:rPr>
          <w:rStyle w:val="FootnoteReference"/>
          <w:rFonts w:ascii="Times New Roman" w:hAnsi="Times New Roman"/>
          <w:spacing w:val="-3"/>
        </w:rPr>
        <w:footnoteReference w:customMarkFollows="1" w:id="1"/>
        <w:t>*</w:t>
      </w:r>
      <w:r>
        <w:rPr>
          <w:rFonts w:ascii="Times New Roman" w:hAnsi="Times New Roman"/>
          <w:spacing w:val="-3"/>
        </w:rPr>
        <w:t>] and that damages resulted, you must also determine if the plaintiff has made reasonable efforts to lessen or reduce his/her damages.  The law requires that party who suffers injury or damage because of a [breach of contract*] to make a reasonable effort to avoid or minimize the loss by taking advantage of such reasonable business or employment opportunities he/she may have under the circumstances.  A party cannot recover damages for a loss that he/she could have avoided by reasonable efforts.</w:t>
      </w:r>
    </w:p>
    <w:p w:rsidR="009C23F3" w:rsidRDefault="009C23F3">
      <w:pPr>
        <w:tabs>
          <w:tab w:val="left" w:pos="-720"/>
        </w:tabs>
        <w:spacing w:line="480" w:lineRule="auto"/>
        <w:jc w:val="both"/>
        <w:rPr>
          <w:rFonts w:ascii="Times New Roman" w:hAnsi="Times New Roman"/>
          <w:spacing w:val="-3"/>
        </w:rPr>
      </w:pPr>
      <w:r>
        <w:rPr>
          <w:rFonts w:ascii="Times New Roman" w:hAnsi="Times New Roman"/>
          <w:spacing w:val="-3"/>
        </w:rPr>
        <w:tab/>
        <w:t>If you find that the plaintiff could have avoided or minimized his/her loss by taking advantage of a business or employment opportunity that was reasonably available under the circumstances, you must subtract from plaintiff</w:t>
      </w:r>
      <w:r w:rsidR="003549DA">
        <w:rPr>
          <w:rFonts w:ascii="Times New Roman" w:hAnsi="Times New Roman"/>
          <w:spacing w:val="-3"/>
        </w:rPr>
        <w:t>’</w:t>
      </w:r>
      <w:r>
        <w:rPr>
          <w:rFonts w:ascii="Times New Roman" w:hAnsi="Times New Roman"/>
          <w:spacing w:val="-3"/>
        </w:rPr>
        <w:t>s award the damages which could have been avoided.  For example, an employee who claims to have lost earnings because he/she was wrongfully fired is free to work elsewhere.  Any subsequent earnings that employee could reasonably have earned if he/she had taken advantage of an available employment opportunity must be subtracted from the damages he/she claims to have suffered as a result of his/her wrongful termination.</w:t>
      </w:r>
    </w:p>
    <w:p w:rsidR="009C23F3" w:rsidRDefault="009C23F3" w:rsidP="003549DA">
      <w:pPr>
        <w:widowControl/>
        <w:tabs>
          <w:tab w:val="left" w:pos="-720"/>
        </w:tabs>
        <w:spacing w:line="480" w:lineRule="auto"/>
        <w:jc w:val="both"/>
        <w:rPr>
          <w:rFonts w:ascii="Times New Roman" w:hAnsi="Times New Roman"/>
          <w:spacing w:val="-3"/>
        </w:rPr>
      </w:pPr>
      <w:r>
        <w:rPr>
          <w:rFonts w:ascii="Times New Roman" w:hAnsi="Times New Roman"/>
          <w:spacing w:val="-3"/>
        </w:rPr>
        <w:lastRenderedPageBreak/>
        <w:tab/>
        <w:t>The burden of proof is on the defendant to show that the plaintiff could reasonably have avoided or minimized his/her damages.  In the employment example, the defendant employer has the burden of showing the earnings the employee could reasonably have realized had the employee taken advantage of available substitute employment.  If the defendant satisfied that burden, then you must reduce the amount of damages the employee would otherwise receive by the amount of the loss that the employee could reasonably have avoided.</w:t>
      </w:r>
    </w:p>
    <w:p w:rsidR="009C23F3" w:rsidRDefault="009C23F3">
      <w:pPr>
        <w:tabs>
          <w:tab w:val="left" w:pos="-720"/>
        </w:tabs>
        <w:spacing w:line="480" w:lineRule="auto"/>
        <w:jc w:val="both"/>
        <w:rPr>
          <w:rFonts w:ascii="Times New Roman" w:hAnsi="Times New Roman"/>
          <w:spacing w:val="-3"/>
        </w:rPr>
      </w:pPr>
    </w:p>
    <w:p w:rsidR="009C23F3" w:rsidRDefault="009F7A5C">
      <w:pPr>
        <w:tabs>
          <w:tab w:val="left" w:pos="-720"/>
        </w:tabs>
        <w:spacing w:line="480" w:lineRule="auto"/>
        <w:jc w:val="both"/>
        <w:rPr>
          <w:rFonts w:ascii="Times New Roman" w:hAnsi="Times New Roman"/>
          <w:b/>
          <w:bCs/>
          <w:spacing w:val="-3"/>
          <w:u w:val="single"/>
        </w:rPr>
      </w:pPr>
      <w:r>
        <w:rPr>
          <w:rFonts w:ascii="Times New Roman" w:hAnsi="Times New Roman"/>
          <w:b/>
          <w:bCs/>
          <w:spacing w:val="-3"/>
          <w:u w:val="single"/>
        </w:rPr>
        <w:t>Cases</w:t>
      </w:r>
      <w:r w:rsidR="009C23F3">
        <w:rPr>
          <w:rFonts w:ascii="Times New Roman" w:hAnsi="Times New Roman"/>
          <w:b/>
          <w:bCs/>
          <w:spacing w:val="-3"/>
        </w:rPr>
        <w:t>:</w:t>
      </w:r>
    </w:p>
    <w:p w:rsidR="009C23F3" w:rsidRDefault="009C23F3">
      <w:pPr>
        <w:tabs>
          <w:tab w:val="left" w:pos="-720"/>
        </w:tabs>
        <w:ind w:left="720" w:right="720"/>
        <w:jc w:val="both"/>
        <w:rPr>
          <w:rFonts w:ascii="Times New Roman" w:hAnsi="Times New Roman"/>
          <w:spacing w:val="-3"/>
        </w:rPr>
      </w:pPr>
      <w:r>
        <w:rPr>
          <w:rFonts w:ascii="Times New Roman" w:hAnsi="Times New Roman"/>
          <w:i/>
          <w:iCs/>
          <w:spacing w:val="-3"/>
        </w:rPr>
        <w:t xml:space="preserve">Frank Stamato &amp; Co. v. Borough of </w:t>
      </w:r>
      <w:smartTag w:uri="urn:schemas-microsoft-com:office:smarttags" w:element="place">
        <w:smartTag w:uri="urn:schemas-microsoft-com:office:smarttags" w:element="City">
          <w:r>
            <w:rPr>
              <w:rFonts w:ascii="Times New Roman" w:hAnsi="Times New Roman"/>
              <w:i/>
              <w:iCs/>
              <w:spacing w:val="-3"/>
            </w:rPr>
            <w:t>Lodi</w:t>
          </w:r>
        </w:smartTag>
      </w:smartTag>
      <w:r>
        <w:rPr>
          <w:rFonts w:ascii="Times New Roman" w:hAnsi="Times New Roman"/>
          <w:spacing w:val="-3"/>
        </w:rPr>
        <w:t xml:space="preserve">, 4 </w:t>
      </w:r>
      <w:r>
        <w:rPr>
          <w:rFonts w:ascii="Times New Roman" w:hAnsi="Times New Roman"/>
          <w:i/>
          <w:iCs/>
          <w:spacing w:val="-3"/>
        </w:rPr>
        <w:t>N.J.</w:t>
      </w:r>
      <w:r>
        <w:rPr>
          <w:rFonts w:ascii="Times New Roman" w:hAnsi="Times New Roman"/>
          <w:spacing w:val="-3"/>
        </w:rPr>
        <w:t xml:space="preserve"> 14, 21 (1950); </w:t>
      </w:r>
      <w:r>
        <w:rPr>
          <w:rFonts w:ascii="Times New Roman" w:hAnsi="Times New Roman"/>
          <w:i/>
          <w:iCs/>
          <w:spacing w:val="-3"/>
        </w:rPr>
        <w:t>Sandler v. Lawn</w:t>
      </w:r>
      <w:r>
        <w:rPr>
          <w:rFonts w:ascii="Times New Roman" w:hAnsi="Times New Roman"/>
          <w:i/>
          <w:iCs/>
          <w:spacing w:val="-3"/>
        </w:rPr>
        <w:noBreakHyphen/>
        <w:t>Mat Chemical &amp; Equipment Corp.</w:t>
      </w:r>
      <w:r>
        <w:rPr>
          <w:rFonts w:ascii="Times New Roman" w:hAnsi="Times New Roman"/>
          <w:spacing w:val="-3"/>
        </w:rPr>
        <w:t xml:space="preserve">, 141 </w:t>
      </w:r>
      <w:r>
        <w:rPr>
          <w:rFonts w:ascii="Times New Roman" w:hAnsi="Times New Roman"/>
          <w:i/>
          <w:iCs/>
          <w:spacing w:val="-3"/>
        </w:rPr>
        <w:t>N.J. Super.</w:t>
      </w:r>
      <w:r>
        <w:rPr>
          <w:rFonts w:ascii="Times New Roman" w:hAnsi="Times New Roman"/>
          <w:spacing w:val="-3"/>
        </w:rPr>
        <w:t xml:space="preserve"> 437, 455 (App. Div.), </w:t>
      </w:r>
      <w:r>
        <w:rPr>
          <w:rFonts w:ascii="Times New Roman" w:hAnsi="Times New Roman"/>
          <w:i/>
          <w:iCs/>
          <w:spacing w:val="-3"/>
        </w:rPr>
        <w:t>certif. denied</w:t>
      </w:r>
      <w:r>
        <w:rPr>
          <w:rFonts w:ascii="Times New Roman" w:hAnsi="Times New Roman"/>
          <w:spacing w:val="-3"/>
        </w:rPr>
        <w:t xml:space="preserve">, 71 </w:t>
      </w:r>
      <w:r>
        <w:rPr>
          <w:rFonts w:ascii="Times New Roman" w:hAnsi="Times New Roman"/>
          <w:i/>
          <w:iCs/>
          <w:spacing w:val="-3"/>
        </w:rPr>
        <w:t>N.J.</w:t>
      </w:r>
      <w:r>
        <w:rPr>
          <w:rFonts w:ascii="Times New Roman" w:hAnsi="Times New Roman"/>
          <w:spacing w:val="-3"/>
        </w:rPr>
        <w:t xml:space="preserve"> 503 (1976); </w:t>
      </w:r>
      <w:r>
        <w:rPr>
          <w:rFonts w:ascii="Times New Roman" w:hAnsi="Times New Roman"/>
          <w:i/>
          <w:iCs/>
          <w:spacing w:val="-3"/>
        </w:rPr>
        <w:t>Harvard v. Bushberg Bros.</w:t>
      </w:r>
      <w:r>
        <w:rPr>
          <w:rFonts w:ascii="Times New Roman" w:hAnsi="Times New Roman"/>
          <w:spacing w:val="-3"/>
        </w:rPr>
        <w:t xml:space="preserve">, 137 </w:t>
      </w:r>
      <w:r>
        <w:rPr>
          <w:rFonts w:ascii="Times New Roman" w:hAnsi="Times New Roman"/>
          <w:i/>
          <w:iCs/>
          <w:spacing w:val="-3"/>
        </w:rPr>
        <w:t>N.J. Super.</w:t>
      </w:r>
      <w:r>
        <w:rPr>
          <w:rFonts w:ascii="Times New Roman" w:hAnsi="Times New Roman"/>
          <w:spacing w:val="-3"/>
        </w:rPr>
        <w:t xml:space="preserve"> 537, 542 (app. Div. 1975); </w:t>
      </w:r>
      <w:r>
        <w:rPr>
          <w:rFonts w:ascii="Times New Roman" w:hAnsi="Times New Roman"/>
          <w:i/>
          <w:iCs/>
          <w:spacing w:val="-3"/>
        </w:rPr>
        <w:t xml:space="preserve">Henry Clay v. </w:t>
      </w:r>
      <w:smartTag w:uri="urn:schemas-microsoft-com:office:smarttags" w:element="place">
        <w:smartTag w:uri="urn:schemas-microsoft-com:office:smarttags" w:element="City">
          <w:r>
            <w:rPr>
              <w:rFonts w:ascii="Times New Roman" w:hAnsi="Times New Roman"/>
              <w:i/>
              <w:iCs/>
              <w:spacing w:val="-3"/>
            </w:rPr>
            <w:t>Jersey City</w:t>
          </w:r>
          <w:r>
            <w:rPr>
              <w:rFonts w:ascii="Times New Roman" w:hAnsi="Times New Roman"/>
              <w:spacing w:val="-3"/>
            </w:rPr>
            <w:t>,</w:t>
          </w:r>
        </w:smartTag>
        <w:r>
          <w:rPr>
            <w:rFonts w:ascii="Times New Roman" w:hAnsi="Times New Roman"/>
            <w:spacing w:val="-3"/>
          </w:rPr>
          <w:t xml:space="preserve"> </w:t>
        </w:r>
        <w:smartTag w:uri="urn:schemas-microsoft-com:office:smarttags" w:element="PostalCode">
          <w:r>
            <w:rPr>
              <w:rFonts w:ascii="Times New Roman" w:hAnsi="Times New Roman"/>
              <w:spacing w:val="-3"/>
            </w:rPr>
            <w:t>74</w:t>
          </w:r>
        </w:smartTag>
        <w:r>
          <w:rPr>
            <w:rFonts w:ascii="Times New Roman" w:hAnsi="Times New Roman"/>
            <w:spacing w:val="-3"/>
          </w:rPr>
          <w:t xml:space="preserve"> </w:t>
        </w:r>
        <w:smartTag w:uri="urn:schemas-microsoft-com:office:smarttags" w:element="State">
          <w:r>
            <w:rPr>
              <w:rFonts w:ascii="Times New Roman" w:hAnsi="Times New Roman"/>
              <w:i/>
              <w:iCs/>
              <w:spacing w:val="-3"/>
            </w:rPr>
            <w:t>N.J.</w:t>
          </w:r>
        </w:smartTag>
      </w:smartTag>
      <w:r>
        <w:rPr>
          <w:rFonts w:ascii="Times New Roman" w:hAnsi="Times New Roman"/>
          <w:i/>
          <w:iCs/>
          <w:spacing w:val="-3"/>
        </w:rPr>
        <w:t xml:space="preserve"> Super.</w:t>
      </w:r>
      <w:r>
        <w:rPr>
          <w:rFonts w:ascii="Times New Roman" w:hAnsi="Times New Roman"/>
          <w:spacing w:val="-3"/>
        </w:rPr>
        <w:t xml:space="preserve"> 490 (Ch. Div. 1962), </w:t>
      </w:r>
      <w:r>
        <w:rPr>
          <w:rFonts w:ascii="Times New Roman" w:hAnsi="Times New Roman"/>
          <w:i/>
          <w:iCs/>
          <w:spacing w:val="-3"/>
        </w:rPr>
        <w:t>aff</w:t>
      </w:r>
      <w:r w:rsidR="003549DA">
        <w:rPr>
          <w:rFonts w:ascii="Times New Roman" w:hAnsi="Times New Roman"/>
          <w:i/>
          <w:iCs/>
          <w:spacing w:val="-3"/>
        </w:rPr>
        <w:t>’</w:t>
      </w:r>
      <w:r>
        <w:rPr>
          <w:rFonts w:ascii="Times New Roman" w:hAnsi="Times New Roman"/>
          <w:i/>
          <w:iCs/>
          <w:spacing w:val="-3"/>
        </w:rPr>
        <w:t>d</w:t>
      </w:r>
      <w:r>
        <w:rPr>
          <w:rFonts w:ascii="Times New Roman" w:hAnsi="Times New Roman"/>
          <w:spacing w:val="-3"/>
        </w:rPr>
        <w:t xml:space="preserve">, 84 </w:t>
      </w:r>
      <w:r>
        <w:rPr>
          <w:rFonts w:ascii="Times New Roman" w:hAnsi="Times New Roman"/>
          <w:i/>
          <w:iCs/>
          <w:spacing w:val="-3"/>
        </w:rPr>
        <w:t>N.J. Super.</w:t>
      </w:r>
      <w:r>
        <w:rPr>
          <w:rFonts w:ascii="Times New Roman" w:hAnsi="Times New Roman"/>
          <w:spacing w:val="-3"/>
        </w:rPr>
        <w:t xml:space="preserve"> 9 (App. Div. 19</w:t>
      </w:r>
      <w:bookmarkStart w:id="1" w:name="U"/>
      <w:bookmarkEnd w:id="1"/>
      <w:r>
        <w:rPr>
          <w:rFonts w:ascii="Times New Roman" w:hAnsi="Times New Roman"/>
          <w:spacing w:val="-3"/>
        </w:rPr>
        <w:t xml:space="preserve">65).  </w:t>
      </w:r>
      <w:r>
        <w:rPr>
          <w:rFonts w:ascii="Times New Roman" w:hAnsi="Times New Roman"/>
          <w:i/>
          <w:iCs/>
          <w:spacing w:val="-3"/>
        </w:rPr>
        <w:t>See also</w:t>
      </w:r>
      <w:r>
        <w:rPr>
          <w:rFonts w:ascii="Times New Roman" w:hAnsi="Times New Roman"/>
          <w:spacing w:val="-3"/>
        </w:rPr>
        <w:t xml:space="preserve"> Restatement (Second) of Contracts §</w:t>
      </w:r>
      <w:r>
        <w:rPr>
          <w:rFonts w:ascii="Times New Roman" w:hAnsi="Times New Roman"/>
          <w:spacing w:val="-3"/>
        </w:rPr>
        <w:t>350, comments a, b and c (1979).</w:t>
      </w:r>
      <w:bookmarkStart w:id="2" w:name="a6_18"/>
      <w:bookmarkEnd w:id="2"/>
    </w:p>
    <w:sectPr w:rsidR="009C23F3" w:rsidSect="009F7A5C">
      <w:headerReference w:type="default" r:id="rId6"/>
      <w:endnotePr>
        <w:numFmt w:val="decimal"/>
      </w:endnotePr>
      <w:pgSz w:w="12240" w:h="15840" w:code="1"/>
      <w:pgMar w:top="1152" w:right="1440" w:bottom="1008" w:left="1440" w:header="1152" w:footer="0" w:gutter="0"/>
      <w:paperSrc w:first="260" w:other="26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95" w:rsidRDefault="00942295">
      <w:pPr>
        <w:widowControl/>
        <w:spacing w:line="20" w:lineRule="exact"/>
        <w:rPr>
          <w:sz w:val="20"/>
          <w:szCs w:val="24"/>
        </w:rPr>
      </w:pPr>
    </w:p>
  </w:endnote>
  <w:endnote w:type="continuationSeparator" w:id="0">
    <w:p w:rsidR="00942295" w:rsidRDefault="00942295">
      <w:r>
        <w:rPr>
          <w:sz w:val="20"/>
          <w:szCs w:val="24"/>
        </w:rPr>
        <w:t xml:space="preserve"> </w:t>
      </w:r>
    </w:p>
  </w:endnote>
  <w:endnote w:type="continuationNotice" w:id="1">
    <w:p w:rsidR="00942295" w:rsidRDefault="00942295">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Rmn 14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95" w:rsidRDefault="00942295">
      <w:r>
        <w:rPr>
          <w:sz w:val="20"/>
          <w:szCs w:val="24"/>
        </w:rPr>
        <w:separator/>
      </w:r>
    </w:p>
  </w:footnote>
  <w:footnote w:type="continuationSeparator" w:id="0">
    <w:p w:rsidR="00942295" w:rsidRDefault="00942295">
      <w:r>
        <w:continuationSeparator/>
      </w:r>
    </w:p>
  </w:footnote>
  <w:footnote w:id="1">
    <w:p w:rsidR="009A3112" w:rsidRDefault="009A3112">
      <w:pPr>
        <w:pStyle w:val="FootnoteText"/>
        <w:tabs>
          <w:tab w:val="left" w:pos="-720"/>
        </w:tabs>
        <w:spacing w:after="240" w:line="240" w:lineRule="atLeast"/>
        <w:jc w:val="both"/>
        <w:rPr>
          <w:rFonts w:ascii="TmsRmn 12pt" w:hAnsi="TmsRmn 12pt" w:cs="Courier New"/>
          <w:spacing w:val="-3"/>
          <w:sz w:val="24"/>
        </w:rPr>
      </w:pPr>
      <w:r>
        <w:rPr>
          <w:rStyle w:val="FootnoteReference"/>
          <w:rFonts w:ascii="Courier New" w:hAnsi="Courier New" w:cs="Courier New"/>
          <w:spacing w:val="-2"/>
          <w:szCs w:val="20"/>
        </w:rPr>
        <w:t>*</w:t>
      </w:r>
      <w:r>
        <w:rPr>
          <w:rFonts w:ascii="Courier New" w:hAnsi="Courier New" w:cs="Courier New"/>
          <w:spacing w:val="-2"/>
          <w:szCs w:val="20"/>
        </w:rPr>
        <w:t xml:space="preserve">  </w:t>
      </w:r>
      <w:r>
        <w:rPr>
          <w:rFonts w:ascii="TmsRmn 12pt" w:hAnsi="TmsRmn 12pt" w:cs="Courier New"/>
          <w:spacing w:val="-3"/>
          <w:sz w:val="24"/>
        </w:rPr>
        <w:t>If the case is an employment case and there is no breach of contract involved, the words "breach of contract" and its variations should be replaced with "wrongful termination" as defined by this charge, or the appropriate variation.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12" w:rsidRDefault="009A3112">
    <w:pPr>
      <w:tabs>
        <w:tab w:val="right" w:pos="9360"/>
      </w:tabs>
      <w:spacing w:line="240" w:lineRule="atLeast"/>
      <w:jc w:val="both"/>
      <w:rPr>
        <w:rFonts w:ascii="Times New Roman" w:hAnsi="Times New Roman"/>
        <w:b/>
        <w:bCs/>
        <w:spacing w:val="-3"/>
      </w:rPr>
    </w:pPr>
    <w:r>
      <w:rPr>
        <w:spacing w:val="-3"/>
      </w:rPr>
      <w:tab/>
    </w:r>
    <w:r>
      <w:rPr>
        <w:rFonts w:ascii="Times New Roman" w:hAnsi="Times New Roman"/>
        <w:b/>
        <w:bCs/>
        <w:spacing w:val="-3"/>
      </w:rPr>
      <w:t xml:space="preserve">CHARGE </w:t>
    </w:r>
    <w:r w:rsidR="00B67A62">
      <w:rPr>
        <w:rFonts w:ascii="Times New Roman" w:hAnsi="Times New Roman"/>
        <w:b/>
        <w:bCs/>
        <w:spacing w:val="-3"/>
      </w:rPr>
      <w:t xml:space="preserve">8.45 </w:t>
    </w:r>
    <w:r>
      <w:rPr>
        <w:rFonts w:ascii="Times New Roman" w:hAnsi="Times New Roman"/>
        <w:b/>
        <w:bCs/>
        <w:spacing w:val="-3"/>
      </w:rPr>
      <w:t xml:space="preserve">― Page </w:t>
    </w:r>
    <w:r>
      <w:rPr>
        <w:rFonts w:ascii="Times New Roman" w:hAnsi="Times New Roman"/>
        <w:b/>
        <w:bCs/>
        <w:spacing w:val="-3"/>
      </w:rPr>
      <w:fldChar w:fldCharType="begin"/>
    </w:r>
    <w:r>
      <w:rPr>
        <w:rFonts w:ascii="Times New Roman" w:hAnsi="Times New Roman"/>
        <w:b/>
        <w:bCs/>
        <w:spacing w:val="-3"/>
      </w:rPr>
      <w:instrText xml:space="preserve"> PAGE </w:instrText>
    </w:r>
    <w:r>
      <w:rPr>
        <w:rFonts w:ascii="Times New Roman" w:hAnsi="Times New Roman"/>
        <w:b/>
        <w:bCs/>
        <w:spacing w:val="-3"/>
      </w:rPr>
      <w:fldChar w:fldCharType="separate"/>
    </w:r>
    <w:r w:rsidR="00860F3E">
      <w:rPr>
        <w:rFonts w:ascii="Times New Roman" w:hAnsi="Times New Roman"/>
        <w:b/>
        <w:bCs/>
        <w:noProof/>
        <w:spacing w:val="-3"/>
      </w:rPr>
      <w:t>5</w:t>
    </w:r>
    <w:r>
      <w:rPr>
        <w:rFonts w:ascii="Times New Roman" w:hAnsi="Times New Roman"/>
        <w:b/>
        <w:bCs/>
        <w:spacing w:val="-3"/>
      </w:rPr>
      <w:fldChar w:fldCharType="end"/>
    </w:r>
    <w:r>
      <w:rPr>
        <w:rFonts w:ascii="Times New Roman" w:hAnsi="Times New Roman"/>
        <w:b/>
        <w:bCs/>
        <w:spacing w:val="-3"/>
      </w:rPr>
      <w:t xml:space="preserve"> of </w:t>
    </w:r>
    <w:r>
      <w:rPr>
        <w:rFonts w:ascii="Times New Roman" w:hAnsi="Times New Roman"/>
        <w:b/>
        <w:bCs/>
        <w:spacing w:val="-3"/>
      </w:rPr>
      <w:fldChar w:fldCharType="begin"/>
    </w:r>
    <w:r>
      <w:rPr>
        <w:rFonts w:ascii="Times New Roman" w:hAnsi="Times New Roman"/>
        <w:b/>
        <w:bCs/>
        <w:spacing w:val="-3"/>
      </w:rPr>
      <w:instrText xml:space="preserve"> NUMPAGES </w:instrText>
    </w:r>
    <w:r>
      <w:rPr>
        <w:rFonts w:ascii="Times New Roman" w:hAnsi="Times New Roman"/>
        <w:b/>
        <w:bCs/>
        <w:spacing w:val="-3"/>
      </w:rPr>
      <w:fldChar w:fldCharType="separate"/>
    </w:r>
    <w:r w:rsidR="00860F3E">
      <w:rPr>
        <w:rFonts w:ascii="Times New Roman" w:hAnsi="Times New Roman"/>
        <w:b/>
        <w:bCs/>
        <w:noProof/>
        <w:spacing w:val="-3"/>
      </w:rPr>
      <w:t>5</w:t>
    </w:r>
    <w:r>
      <w:rPr>
        <w:rFonts w:ascii="Times New Roman" w:hAnsi="Times New Roman"/>
        <w:b/>
        <w:bCs/>
        <w:spacing w:val="-3"/>
      </w:rPr>
      <w:fldChar w:fldCharType="end"/>
    </w:r>
  </w:p>
  <w:p w:rsidR="009A3112" w:rsidRDefault="009A3112">
    <w:pPr>
      <w:tabs>
        <w:tab w:val="right" w:pos="9360"/>
      </w:tabs>
      <w:spacing w:line="240" w:lineRule="atLeast"/>
      <w:jc w:val="both"/>
      <w:rPr>
        <w:rFonts w:ascii="Times New Roman" w:hAnsi="Times New Roman"/>
        <w:b/>
        <w:bCs/>
        <w:spacing w:val="-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6"/>
    <w:rsid w:val="000725AB"/>
    <w:rsid w:val="001119DA"/>
    <w:rsid w:val="00154F5B"/>
    <w:rsid w:val="003549DA"/>
    <w:rsid w:val="003B3B00"/>
    <w:rsid w:val="003D155B"/>
    <w:rsid w:val="004B4B26"/>
    <w:rsid w:val="004F1597"/>
    <w:rsid w:val="005952F5"/>
    <w:rsid w:val="005E0BE0"/>
    <w:rsid w:val="005F50E6"/>
    <w:rsid w:val="00860F3E"/>
    <w:rsid w:val="00913871"/>
    <w:rsid w:val="00942295"/>
    <w:rsid w:val="009A3112"/>
    <w:rsid w:val="009B0EBD"/>
    <w:rsid w:val="009C23F3"/>
    <w:rsid w:val="009F7A5C"/>
    <w:rsid w:val="00A3453B"/>
    <w:rsid w:val="00B4171C"/>
    <w:rsid w:val="00B67A62"/>
    <w:rsid w:val="00C01A5E"/>
    <w:rsid w:val="00D217D4"/>
    <w:rsid w:val="00DE1644"/>
    <w:rsid w:val="00F3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9925605-C516-4ABC-B4DA-AB313498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msRmn 14pt" w:hAnsi="TmsRmn 14p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A3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1210</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6</vt:lpstr>
    </vt:vector>
  </TitlesOfParts>
  <Company>State of NJ-Judiciary</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PC307704</dc:creator>
  <cp:keywords/>
  <cp:lastModifiedBy>Bridget Dorney</cp:lastModifiedBy>
  <cp:revision>3</cp:revision>
  <cp:lastPrinted>2014-06-05T20:25:00Z</cp:lastPrinted>
  <dcterms:created xsi:type="dcterms:W3CDTF">2014-12-10T21:36:00Z</dcterms:created>
  <dcterms:modified xsi:type="dcterms:W3CDTF">2014-12-22T20:09:00Z</dcterms:modified>
</cp:coreProperties>
</file>