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46A" w14:textId="3F570639" w:rsidR="00DF46B1" w:rsidRPr="00AC058E" w:rsidRDefault="00D748C1" w:rsidP="00DF46B1">
      <w:pPr>
        <w:jc w:val="center"/>
        <w:rPr>
          <w:b/>
          <w:bCs/>
          <w:sz w:val="24"/>
          <w:szCs w:val="24"/>
        </w:rPr>
      </w:pPr>
      <w:r>
        <w:rPr>
          <w:b/>
          <w:bCs/>
          <w:sz w:val="24"/>
          <w:szCs w:val="24"/>
          <w:u w:val="single"/>
        </w:rPr>
        <w:t>RESIDENTIAL</w:t>
      </w:r>
      <w:r w:rsidR="005D01A9">
        <w:rPr>
          <w:b/>
          <w:bCs/>
          <w:sz w:val="24"/>
          <w:szCs w:val="24"/>
          <w:u w:val="single"/>
        </w:rPr>
        <w:t xml:space="preserve"> </w:t>
      </w:r>
      <w:r w:rsidR="00DF46B1" w:rsidRPr="00AC058E">
        <w:rPr>
          <w:b/>
          <w:bCs/>
          <w:sz w:val="24"/>
          <w:szCs w:val="24"/>
          <w:u w:val="single"/>
        </w:rPr>
        <w:t>BURGLARY</w:t>
      </w:r>
    </w:p>
    <w:p w14:paraId="3CC3FFB3" w14:textId="4931B26D" w:rsidR="00B34A2A" w:rsidRPr="00CF3384" w:rsidRDefault="00DF46B1" w:rsidP="00B34A2A">
      <w:pPr>
        <w:jc w:val="center"/>
        <w:rPr>
          <w:bCs/>
          <w:sz w:val="24"/>
          <w:szCs w:val="24"/>
        </w:rPr>
      </w:pPr>
      <w:r w:rsidRPr="001F2513">
        <w:rPr>
          <w:b/>
          <w:bCs/>
          <w:sz w:val="24"/>
          <w:szCs w:val="24"/>
        </w:rPr>
        <w:t>(N.J.S.A. 2C:18</w:t>
      </w:r>
      <w:r w:rsidRPr="001F2513">
        <w:rPr>
          <w:b/>
          <w:bCs/>
          <w:sz w:val="24"/>
          <w:szCs w:val="24"/>
        </w:rPr>
        <w:noBreakHyphen/>
        <w:t>2</w:t>
      </w:r>
      <w:r w:rsidR="00962BC4" w:rsidRPr="001F2513">
        <w:rPr>
          <w:b/>
          <w:bCs/>
          <w:sz w:val="24"/>
          <w:szCs w:val="24"/>
        </w:rPr>
        <w:t>.</w:t>
      </w:r>
      <w:r w:rsidR="00D748C1">
        <w:rPr>
          <w:b/>
          <w:bCs/>
          <w:sz w:val="24"/>
          <w:szCs w:val="24"/>
        </w:rPr>
        <w:t>2</w:t>
      </w:r>
      <w:r w:rsidRPr="001F2513">
        <w:rPr>
          <w:b/>
          <w:bCs/>
          <w:sz w:val="24"/>
          <w:szCs w:val="24"/>
        </w:rPr>
        <w:t>)</w:t>
      </w:r>
      <w:r w:rsidR="00B34A2A">
        <w:rPr>
          <w:b/>
          <w:bCs/>
          <w:sz w:val="24"/>
          <w:szCs w:val="24"/>
        </w:rPr>
        <w:t xml:space="preserve"> </w:t>
      </w:r>
      <w:r w:rsidR="00B34A2A" w:rsidRPr="005D01A9">
        <w:rPr>
          <w:b/>
          <w:sz w:val="24"/>
          <w:szCs w:val="24"/>
        </w:rPr>
        <w:t>(</w:t>
      </w:r>
      <w:r w:rsidR="00B34A2A">
        <w:rPr>
          <w:b/>
          <w:sz w:val="24"/>
          <w:szCs w:val="24"/>
        </w:rPr>
        <w:t>Cases arising</w:t>
      </w:r>
      <w:r w:rsidR="00B34A2A" w:rsidRPr="005D01A9">
        <w:rPr>
          <w:b/>
          <w:sz w:val="24"/>
          <w:szCs w:val="24"/>
        </w:rPr>
        <w:t xml:space="preserve"> after October 18, 2024)</w:t>
      </w:r>
    </w:p>
    <w:p w14:paraId="6FE638E1" w14:textId="77777777" w:rsidR="00DF46B1" w:rsidRPr="00AC058E" w:rsidRDefault="00DF46B1" w:rsidP="00CB17C2">
      <w:pPr>
        <w:rPr>
          <w:sz w:val="24"/>
          <w:szCs w:val="24"/>
        </w:rPr>
      </w:pPr>
    </w:p>
    <w:p w14:paraId="6E2110EA" w14:textId="22F902FC" w:rsidR="00DF46B1" w:rsidRPr="00AC058E" w:rsidRDefault="00DF46B1" w:rsidP="00CB17C2">
      <w:pPr>
        <w:pStyle w:val="BodyText"/>
        <w:spacing w:line="480" w:lineRule="auto"/>
      </w:pPr>
      <w:r w:rsidRPr="00AC058E">
        <w:tab/>
        <w:t xml:space="preserve">The indictment charges the defendant with committing the crime of </w:t>
      </w:r>
      <w:r w:rsidR="00D748C1">
        <w:t>residential</w:t>
      </w:r>
      <w:r w:rsidR="00962BC4">
        <w:t xml:space="preserve"> </w:t>
      </w:r>
      <w:r w:rsidRPr="00AC058E">
        <w:t>burglary.  The indictment reads as follows:</w:t>
      </w:r>
      <w:r w:rsidR="001B5E69" w:rsidRPr="001B5E69">
        <w:t xml:space="preserve"> </w:t>
      </w:r>
    </w:p>
    <w:p w14:paraId="0592C08C" w14:textId="77777777" w:rsidR="00DF46B1" w:rsidRPr="00AC058E" w:rsidRDefault="00DF46B1" w:rsidP="00CB17C2">
      <w:pPr>
        <w:tabs>
          <w:tab w:val="center" w:pos="4680"/>
          <w:tab w:val="left" w:pos="6134"/>
        </w:tabs>
        <w:rPr>
          <w:b/>
          <w:bCs/>
          <w:sz w:val="24"/>
          <w:szCs w:val="24"/>
        </w:rPr>
      </w:pPr>
      <w:r>
        <w:rPr>
          <w:b/>
          <w:bCs/>
          <w:sz w:val="24"/>
          <w:szCs w:val="24"/>
        </w:rPr>
        <w:tab/>
      </w:r>
      <w:r w:rsidRPr="00AC058E">
        <w:rPr>
          <w:b/>
          <w:bCs/>
          <w:sz w:val="24"/>
          <w:szCs w:val="24"/>
        </w:rPr>
        <w:t>(Read Indictment)</w:t>
      </w:r>
      <w:r>
        <w:rPr>
          <w:b/>
          <w:bCs/>
          <w:sz w:val="24"/>
          <w:szCs w:val="24"/>
        </w:rPr>
        <w:tab/>
      </w:r>
    </w:p>
    <w:p w14:paraId="69F15EBF" w14:textId="77777777" w:rsidR="00DF46B1" w:rsidRPr="00AC058E" w:rsidRDefault="00DF46B1" w:rsidP="00CB17C2">
      <w:pPr>
        <w:jc w:val="center"/>
        <w:rPr>
          <w:sz w:val="24"/>
          <w:szCs w:val="24"/>
        </w:rPr>
      </w:pPr>
    </w:p>
    <w:p w14:paraId="29CDA324" w14:textId="16FBFCE4" w:rsidR="00DF46B1" w:rsidRDefault="00DF46B1" w:rsidP="00CB17C2">
      <w:pPr>
        <w:jc w:val="both"/>
        <w:rPr>
          <w:color w:val="D86DCB" w:themeColor="accent5" w:themeTint="99"/>
          <w:sz w:val="24"/>
          <w:szCs w:val="24"/>
        </w:rPr>
      </w:pPr>
      <w:r w:rsidRPr="00F81F0F">
        <w:rPr>
          <w:sz w:val="24"/>
          <w:szCs w:val="24"/>
        </w:rPr>
        <w:tab/>
        <w:t>The pertinent part of the statute on which this indictment is based reads as follows:</w:t>
      </w:r>
    </w:p>
    <w:p w14:paraId="08068EE0" w14:textId="77777777" w:rsidR="00610E80" w:rsidRPr="00610E80" w:rsidRDefault="00610E80" w:rsidP="00CB17C2">
      <w:pPr>
        <w:jc w:val="both"/>
        <w:rPr>
          <w:sz w:val="24"/>
          <w:szCs w:val="24"/>
        </w:rPr>
      </w:pPr>
    </w:p>
    <w:p w14:paraId="14F48F60" w14:textId="75E31AE9" w:rsidR="00610E80" w:rsidRDefault="00610E80" w:rsidP="00610E80">
      <w:pPr>
        <w:ind w:left="1440" w:right="1440"/>
        <w:jc w:val="both"/>
        <w:rPr>
          <w:strike/>
          <w:sz w:val="24"/>
          <w:szCs w:val="24"/>
        </w:rPr>
      </w:pPr>
      <w:r w:rsidRPr="00610E80">
        <w:rPr>
          <w:sz w:val="24"/>
          <w:szCs w:val="24"/>
        </w:rPr>
        <w:t xml:space="preserve">A person is guilty of </w:t>
      </w:r>
      <w:r w:rsidR="00D748C1">
        <w:rPr>
          <w:sz w:val="24"/>
          <w:szCs w:val="24"/>
        </w:rPr>
        <w:t>a residential</w:t>
      </w:r>
      <w:r w:rsidRPr="00610E80">
        <w:rPr>
          <w:sz w:val="24"/>
          <w:szCs w:val="24"/>
        </w:rPr>
        <w:t xml:space="preserve"> burglary if, with purpose to commit an offense therein or thereon, the person</w:t>
      </w:r>
      <w:r w:rsidR="00172007">
        <w:rPr>
          <w:sz w:val="24"/>
          <w:szCs w:val="24"/>
        </w:rPr>
        <w:t>:</w:t>
      </w:r>
    </w:p>
    <w:p w14:paraId="01281988" w14:textId="77777777" w:rsidR="00172007" w:rsidRDefault="00172007" w:rsidP="00610E80">
      <w:pPr>
        <w:ind w:left="1440" w:right="1440"/>
        <w:jc w:val="both"/>
        <w:rPr>
          <w:sz w:val="24"/>
          <w:szCs w:val="24"/>
        </w:rPr>
      </w:pPr>
    </w:p>
    <w:p w14:paraId="7B9A6F66" w14:textId="02F12D43" w:rsidR="00172007" w:rsidRDefault="00172007" w:rsidP="00172007">
      <w:pPr>
        <w:pStyle w:val="ListParagraph"/>
        <w:numPr>
          <w:ilvl w:val="0"/>
          <w:numId w:val="5"/>
        </w:numPr>
        <w:ind w:right="1440"/>
        <w:jc w:val="both"/>
        <w:rPr>
          <w:sz w:val="24"/>
          <w:szCs w:val="24"/>
        </w:rPr>
      </w:pPr>
      <w:r w:rsidRPr="00172007">
        <w:rPr>
          <w:sz w:val="24"/>
          <w:szCs w:val="24"/>
        </w:rPr>
        <w:t>Enters a residential dwelling or accommodation, or a separately secured portion thereof, unless the actor is licensed or privileged to enter; or</w:t>
      </w:r>
    </w:p>
    <w:p w14:paraId="70F33EB8" w14:textId="77777777" w:rsidR="00172007" w:rsidRDefault="00172007" w:rsidP="00F90BBE">
      <w:pPr>
        <w:pStyle w:val="ListParagraph"/>
        <w:ind w:left="1800" w:right="1440"/>
        <w:jc w:val="both"/>
        <w:rPr>
          <w:sz w:val="24"/>
          <w:szCs w:val="24"/>
        </w:rPr>
      </w:pPr>
    </w:p>
    <w:p w14:paraId="6F20EE17" w14:textId="0F95116A" w:rsidR="00610E80" w:rsidRPr="00CF3384" w:rsidRDefault="00172007" w:rsidP="00CF3384">
      <w:pPr>
        <w:pStyle w:val="ListParagraph"/>
        <w:numPr>
          <w:ilvl w:val="0"/>
          <w:numId w:val="5"/>
        </w:numPr>
        <w:ind w:right="1440"/>
        <w:jc w:val="both"/>
        <w:rPr>
          <w:sz w:val="24"/>
          <w:szCs w:val="24"/>
        </w:rPr>
      </w:pPr>
      <w:r w:rsidRPr="00172007">
        <w:rPr>
          <w:sz w:val="24"/>
          <w:szCs w:val="24"/>
        </w:rPr>
        <w:t>Surreptitiously remains in a residential dwelling or accommodation, or a separately secured portion thereof, knowing that the actor is not licensed or privileged to do so.</w:t>
      </w:r>
    </w:p>
    <w:p w14:paraId="62EB7E0C" w14:textId="77777777" w:rsidR="00DF46B1" w:rsidRPr="00962BC4" w:rsidRDefault="00DF46B1" w:rsidP="00CB17C2">
      <w:pPr>
        <w:tabs>
          <w:tab w:val="left" w:pos="720"/>
          <w:tab w:val="left" w:pos="1440"/>
          <w:tab w:val="left" w:pos="2160"/>
        </w:tabs>
        <w:ind w:left="2160" w:right="1440" w:hanging="2160"/>
        <w:jc w:val="both"/>
        <w:rPr>
          <w:color w:val="D86DCB" w:themeColor="accent5" w:themeTint="99"/>
          <w:sz w:val="24"/>
          <w:szCs w:val="24"/>
        </w:rPr>
      </w:pPr>
    </w:p>
    <w:p w14:paraId="265A2EFD" w14:textId="2C9C3F05" w:rsidR="00610E80" w:rsidRDefault="00DF46B1" w:rsidP="00CB17C2">
      <w:pPr>
        <w:pStyle w:val="BodyText"/>
        <w:spacing w:line="480" w:lineRule="auto"/>
      </w:pPr>
      <w:r w:rsidRPr="00962BC4">
        <w:rPr>
          <w:color w:val="D86DCB" w:themeColor="accent5" w:themeTint="99"/>
        </w:rPr>
        <w:tab/>
      </w:r>
      <w:proofErr w:type="gramStart"/>
      <w:r w:rsidRPr="00F81F0F">
        <w:t>In order for</w:t>
      </w:r>
      <w:proofErr w:type="gramEnd"/>
      <w:r w:rsidRPr="00F81F0F">
        <w:t xml:space="preserve"> you to find the defendant guilty of the crime of</w:t>
      </w:r>
      <w:r w:rsidR="00F81F0F" w:rsidRPr="00F81F0F">
        <w:t xml:space="preserve"> </w:t>
      </w:r>
      <w:r w:rsidR="00E90663">
        <w:t>residential</w:t>
      </w:r>
      <w:r w:rsidRPr="00F81F0F">
        <w:t xml:space="preserve"> burglary, the State must prove beyond a reasonable doubt the following elements:</w:t>
      </w:r>
    </w:p>
    <w:p w14:paraId="02C99EA8" w14:textId="29769EC2" w:rsidR="00610E80" w:rsidRDefault="00610E80" w:rsidP="00610E80">
      <w:pPr>
        <w:pStyle w:val="BodyText"/>
        <w:spacing w:line="240" w:lineRule="auto"/>
        <w:ind w:left="1440" w:right="1440"/>
      </w:pPr>
      <w:r>
        <w:t xml:space="preserve">(1) </w:t>
      </w:r>
      <w:r w:rsidRPr="00610E80">
        <w:t>That the defendant, without license or privilege to do so, entered or surreptitiously remained in a residential dwelling or accommodation, or a separately secured portion thereof;</w:t>
      </w:r>
      <w:r w:rsidR="00E90663">
        <w:t xml:space="preserve"> and</w:t>
      </w:r>
    </w:p>
    <w:p w14:paraId="7A3CE751" w14:textId="77777777" w:rsidR="00610E80" w:rsidRPr="00610E80" w:rsidRDefault="00610E80" w:rsidP="00610E80">
      <w:pPr>
        <w:pStyle w:val="BodyText"/>
        <w:spacing w:line="240" w:lineRule="auto"/>
        <w:ind w:left="1440" w:right="1440"/>
      </w:pPr>
    </w:p>
    <w:p w14:paraId="46073CD4" w14:textId="05B9B2B1" w:rsidR="00610E80" w:rsidRPr="00610E80" w:rsidRDefault="00610E80" w:rsidP="00CF3384">
      <w:pPr>
        <w:pStyle w:val="BodyText"/>
        <w:spacing w:line="240" w:lineRule="auto"/>
        <w:ind w:left="1440" w:right="1440"/>
      </w:pPr>
      <w:r>
        <w:t xml:space="preserve">(2) </w:t>
      </w:r>
      <w:r w:rsidRPr="00610E80">
        <w:t>the defendant did so with purpose to commit an offense therein or thereon</w:t>
      </w:r>
      <w:r w:rsidR="00A56084">
        <w:t>.</w:t>
      </w:r>
    </w:p>
    <w:p w14:paraId="06814D33" w14:textId="77777777" w:rsidR="00CB17C2" w:rsidRPr="00CB17C2" w:rsidRDefault="00CB17C2" w:rsidP="00CB17C2">
      <w:pPr>
        <w:pStyle w:val="BodyText"/>
        <w:spacing w:line="240" w:lineRule="auto"/>
        <w:ind w:left="1440" w:right="1440"/>
      </w:pPr>
    </w:p>
    <w:p w14:paraId="30FE9114" w14:textId="77777777" w:rsidR="00CB17C2" w:rsidRDefault="00610E80" w:rsidP="00CB17C2">
      <w:pPr>
        <w:spacing w:line="480" w:lineRule="auto"/>
        <w:jc w:val="both"/>
        <w:rPr>
          <w:sz w:val="24"/>
          <w:szCs w:val="24"/>
        </w:rPr>
      </w:pPr>
      <w:r>
        <w:rPr>
          <w:color w:val="D86DCB" w:themeColor="accent5" w:themeTint="99"/>
          <w:sz w:val="24"/>
          <w:szCs w:val="24"/>
        </w:rPr>
        <w:tab/>
      </w:r>
      <w:r>
        <w:rPr>
          <w:sz w:val="24"/>
          <w:szCs w:val="24"/>
        </w:rPr>
        <w:t xml:space="preserve">The first element that the State must prove beyond a reasonable doubt is that the </w:t>
      </w:r>
      <w:r w:rsidRPr="00610E80">
        <w:rPr>
          <w:sz w:val="24"/>
          <w:szCs w:val="24"/>
        </w:rPr>
        <w:t>defendant, without license or privilege to do so, entered or surreptitiously remained in a residential dwelling or accommodation, or a separately secured portion thereof</w:t>
      </w:r>
      <w:r w:rsidR="00CB17C2">
        <w:rPr>
          <w:sz w:val="24"/>
          <w:szCs w:val="24"/>
        </w:rPr>
        <w:t xml:space="preserve">.  </w:t>
      </w:r>
    </w:p>
    <w:p w14:paraId="4372DF6B" w14:textId="77777777" w:rsidR="00CB17C2" w:rsidRDefault="00500EF1" w:rsidP="00CB17C2">
      <w:pPr>
        <w:spacing w:line="480" w:lineRule="auto"/>
        <w:ind w:firstLine="720"/>
        <w:jc w:val="both"/>
        <w:rPr>
          <w:sz w:val="24"/>
          <w:szCs w:val="24"/>
        </w:rPr>
      </w:pPr>
      <w:r w:rsidRPr="00500EF1">
        <w:rPr>
          <w:sz w:val="24"/>
          <w:szCs w:val="24"/>
        </w:rPr>
        <w:t>“Residential dwelling or accommodation” means a permanent structure intended as and currently being utilized as a residence by a private person or persons and any place adapted for overnight accommodation of persons.</w:t>
      </w:r>
      <w:r w:rsidRPr="00500EF1">
        <w:rPr>
          <w:rStyle w:val="FootnoteReference"/>
          <w:sz w:val="24"/>
          <w:szCs w:val="24"/>
        </w:rPr>
        <w:footnoteReference w:id="1"/>
      </w:r>
    </w:p>
    <w:p w14:paraId="024009C5" w14:textId="26B683F7" w:rsidR="006F2CE5" w:rsidRPr="00553E32" w:rsidRDefault="006F2CE5" w:rsidP="00CB17C2">
      <w:pPr>
        <w:spacing w:line="480" w:lineRule="auto"/>
        <w:ind w:firstLine="720"/>
        <w:jc w:val="both"/>
      </w:pPr>
      <w:r>
        <w:rPr>
          <w:sz w:val="24"/>
          <w:szCs w:val="24"/>
        </w:rPr>
        <w:t xml:space="preserve">The second element that the State must prove beyond a reasonable doubt is that </w:t>
      </w:r>
      <w:r w:rsidR="00553E32" w:rsidRPr="00553E32">
        <w:rPr>
          <w:sz w:val="24"/>
          <w:szCs w:val="24"/>
        </w:rPr>
        <w:t xml:space="preserve">the </w:t>
      </w:r>
      <w:r w:rsidR="00553E32" w:rsidRPr="00553E32">
        <w:rPr>
          <w:sz w:val="24"/>
          <w:szCs w:val="24"/>
        </w:rPr>
        <w:lastRenderedPageBreak/>
        <w:t>defendant did so with purpose to commit an offense therein or thereon</w:t>
      </w:r>
      <w:r w:rsidR="00553E32">
        <w:rPr>
          <w:sz w:val="24"/>
          <w:szCs w:val="24"/>
        </w:rPr>
        <w:t xml:space="preserve">.  </w:t>
      </w:r>
    </w:p>
    <w:p w14:paraId="640BE775" w14:textId="77777777" w:rsidR="00EE1BB4" w:rsidRDefault="00DF46B1" w:rsidP="00EE1BB4">
      <w:pPr>
        <w:spacing w:line="480" w:lineRule="auto"/>
        <w:ind w:firstLine="720"/>
        <w:jc w:val="both"/>
      </w:pPr>
      <w:r w:rsidRPr="00E45A1C">
        <w:rPr>
          <w:sz w:val="24"/>
          <w:szCs w:val="24"/>
        </w:rPr>
        <w:t>“Purpose to commit an offense” means that the defendant intended to commit an unlawful act</w:t>
      </w:r>
      <w:r w:rsidRPr="00E45A1C">
        <w:rPr>
          <w:rStyle w:val="FootnoteReference"/>
          <w:rFonts w:eastAsiaTheme="majorEastAsia"/>
          <w:sz w:val="24"/>
          <w:szCs w:val="24"/>
        </w:rPr>
        <w:footnoteReference w:id="2"/>
      </w:r>
      <w:r w:rsidRPr="00E45A1C">
        <w:rPr>
          <w:sz w:val="24"/>
          <w:szCs w:val="24"/>
        </w:rPr>
        <w:t xml:space="preserve"> inside the </w:t>
      </w:r>
      <w:r w:rsidR="00E45A1C" w:rsidRPr="00E45A1C">
        <w:rPr>
          <w:sz w:val="24"/>
          <w:szCs w:val="24"/>
        </w:rPr>
        <w:t>residential dwelling or accommodation, or a separately secured portion thereof</w:t>
      </w:r>
      <w:r w:rsidRPr="00E45A1C">
        <w:rPr>
          <w:sz w:val="24"/>
          <w:szCs w:val="24"/>
        </w:rPr>
        <w:t xml:space="preserve">. </w:t>
      </w:r>
      <w:r w:rsidRPr="00E45A1C">
        <w:rPr>
          <w:b/>
          <w:bCs/>
          <w:sz w:val="24"/>
          <w:szCs w:val="24"/>
        </w:rPr>
        <w:t>[WHERE APPLICABLE CHARGE:</w:t>
      </w:r>
      <w:r w:rsidRPr="00E45A1C">
        <w:rPr>
          <w:sz w:val="24"/>
          <w:szCs w:val="24"/>
        </w:rPr>
        <w:t xml:space="preserve"> The unlawful act(s) allegedly intended are set forth in count(s) _____ of this indictment.</w:t>
      </w:r>
      <w:r w:rsidRPr="00E45A1C">
        <w:rPr>
          <w:b/>
          <w:bCs/>
          <w:sz w:val="24"/>
          <w:szCs w:val="24"/>
        </w:rPr>
        <w:t>]</w:t>
      </w:r>
      <w:r w:rsidRPr="00E45A1C">
        <w:rPr>
          <w:rStyle w:val="FootnoteReference"/>
          <w:rFonts w:eastAsiaTheme="majorEastAsia"/>
          <w:sz w:val="24"/>
          <w:szCs w:val="24"/>
        </w:rPr>
        <w:footnoteReference w:id="3"/>
      </w:r>
    </w:p>
    <w:p w14:paraId="5890E4D1" w14:textId="09796401" w:rsidR="006F2CE5" w:rsidRDefault="00DF46B1" w:rsidP="006F2CE5">
      <w:pPr>
        <w:spacing w:line="480" w:lineRule="auto"/>
        <w:ind w:firstLine="720"/>
        <w:jc w:val="both"/>
      </w:pPr>
      <w:r w:rsidRPr="00E45A1C">
        <w:rPr>
          <w:sz w:val="24"/>
          <w:szCs w:val="24"/>
        </w:rPr>
        <w:t xml:space="preserve">A person acts purposely with respect to the nature of </w:t>
      </w:r>
      <w:r w:rsidR="00034A18">
        <w:rPr>
          <w:sz w:val="24"/>
          <w:szCs w:val="24"/>
        </w:rPr>
        <w:t xml:space="preserve">their </w:t>
      </w:r>
      <w:r w:rsidRPr="00E45A1C">
        <w:rPr>
          <w:sz w:val="24"/>
          <w:szCs w:val="24"/>
        </w:rPr>
        <w:t xml:space="preserve">conduct or a result thereof </w:t>
      </w:r>
      <w:proofErr w:type="gramStart"/>
      <w:r w:rsidRPr="00E45A1C">
        <w:rPr>
          <w:sz w:val="24"/>
          <w:szCs w:val="24"/>
        </w:rPr>
        <w:t>if</w:t>
      </w:r>
      <w:proofErr w:type="gramEnd"/>
      <w:r w:rsidRPr="00E45A1C">
        <w:rPr>
          <w:sz w:val="24"/>
          <w:szCs w:val="24"/>
        </w:rPr>
        <w:t xml:space="preserve"> it is </w:t>
      </w:r>
      <w:r w:rsidR="00034A18">
        <w:rPr>
          <w:sz w:val="24"/>
          <w:szCs w:val="24"/>
        </w:rPr>
        <w:t xml:space="preserve">their </w:t>
      </w:r>
      <w:r w:rsidRPr="00E45A1C">
        <w:rPr>
          <w:sz w:val="24"/>
          <w:szCs w:val="24"/>
        </w:rPr>
        <w:t>conscious object to engage in conduct of that nature or to cause such a result. Purpose, with purpose, and similar words have the same meaning.</w:t>
      </w:r>
      <w:r w:rsidRPr="00E45A1C">
        <w:rPr>
          <w:rStyle w:val="FootnoteReference"/>
          <w:rFonts w:eastAsiaTheme="majorEastAsia"/>
          <w:sz w:val="24"/>
          <w:szCs w:val="24"/>
        </w:rPr>
        <w:footnoteReference w:id="4"/>
      </w:r>
      <w:r w:rsidRPr="00E45A1C">
        <w:rPr>
          <w:sz w:val="24"/>
          <w:szCs w:val="24"/>
        </w:rPr>
        <w:t xml:space="preserve">  In other words, in order for you to find that the defendant acted purposely, the State must prove beyond a reasonable doubt that it was the defendant's </w:t>
      </w:r>
      <w:r w:rsidRPr="00E45A1C">
        <w:rPr>
          <w:sz w:val="24"/>
          <w:szCs w:val="24"/>
          <w:u w:val="single"/>
        </w:rPr>
        <w:t>conscious object</w:t>
      </w:r>
      <w:r w:rsidRPr="00E45A1C">
        <w:rPr>
          <w:sz w:val="24"/>
          <w:szCs w:val="24"/>
        </w:rPr>
        <w:t xml:space="preserve"> at the time </w:t>
      </w:r>
      <w:r w:rsidR="00034A18">
        <w:rPr>
          <w:sz w:val="24"/>
          <w:szCs w:val="24"/>
        </w:rPr>
        <w:t xml:space="preserve">they </w:t>
      </w:r>
      <w:r w:rsidRPr="00E45A1C">
        <w:rPr>
          <w:sz w:val="24"/>
          <w:szCs w:val="24"/>
        </w:rPr>
        <w:t xml:space="preserve">unlawfully entered [OR  surreptitiously remained in] the </w:t>
      </w:r>
      <w:r w:rsidR="00EE1BB4">
        <w:rPr>
          <w:sz w:val="24"/>
          <w:szCs w:val="24"/>
        </w:rPr>
        <w:t>residential dwelling or accommodation</w:t>
      </w:r>
      <w:r w:rsidRPr="00E45A1C">
        <w:rPr>
          <w:sz w:val="24"/>
          <w:szCs w:val="24"/>
        </w:rPr>
        <w:t xml:space="preserve"> to commit an unlawful act.</w:t>
      </w:r>
      <w:r w:rsidRPr="00E45A1C">
        <w:rPr>
          <w:rStyle w:val="FootnoteReference"/>
          <w:rFonts w:eastAsiaTheme="majorEastAsia"/>
          <w:sz w:val="24"/>
          <w:szCs w:val="24"/>
        </w:rPr>
        <w:footnoteReference w:id="5"/>
      </w:r>
    </w:p>
    <w:p w14:paraId="0D0A1673" w14:textId="27422DA1" w:rsidR="006F2CE5" w:rsidRDefault="00DF46B1" w:rsidP="006F2CE5">
      <w:pPr>
        <w:spacing w:line="480" w:lineRule="auto"/>
        <w:ind w:firstLine="720"/>
        <w:jc w:val="both"/>
        <w:rPr>
          <w:sz w:val="24"/>
          <w:szCs w:val="24"/>
        </w:rPr>
      </w:pPr>
      <w:r w:rsidRPr="00E45A1C">
        <w:rPr>
          <w:sz w:val="24"/>
          <w:szCs w:val="24"/>
        </w:rPr>
        <w:t xml:space="preserve">A person's purpose is a state or a condition of the mind which cannot be seen and can only be determined by inferences from conduct, words or acts. A state of mind is rarely susceptible </w:t>
      </w:r>
      <w:proofErr w:type="gramStart"/>
      <w:r w:rsidRPr="00E45A1C">
        <w:rPr>
          <w:sz w:val="24"/>
          <w:szCs w:val="24"/>
        </w:rPr>
        <w:t>of</w:t>
      </w:r>
      <w:proofErr w:type="gramEnd"/>
      <w:r w:rsidRPr="00E45A1C">
        <w:rPr>
          <w:sz w:val="24"/>
          <w:szCs w:val="24"/>
        </w:rPr>
        <w:t xml:space="preserve"> direct </w:t>
      </w:r>
      <w:proofErr w:type="gramStart"/>
      <w:r w:rsidRPr="00E45A1C">
        <w:rPr>
          <w:sz w:val="24"/>
          <w:szCs w:val="24"/>
        </w:rPr>
        <w:t xml:space="preserve">proof, </w:t>
      </w:r>
      <w:r w:rsidR="00F90BBE">
        <w:rPr>
          <w:sz w:val="24"/>
          <w:szCs w:val="24"/>
        </w:rPr>
        <w:t xml:space="preserve"> </w:t>
      </w:r>
      <w:r w:rsidRPr="00E45A1C">
        <w:rPr>
          <w:sz w:val="24"/>
          <w:szCs w:val="24"/>
        </w:rPr>
        <w:t>but</w:t>
      </w:r>
      <w:proofErr w:type="gramEnd"/>
      <w:r w:rsidRPr="00E45A1C">
        <w:rPr>
          <w:sz w:val="24"/>
          <w:szCs w:val="24"/>
        </w:rPr>
        <w:t xml:space="preserve"> must ordinarily be inferred from the facts. Therefore, it is not necessary, members of the jury, that witnesses be produced to testify that an accused said </w:t>
      </w:r>
      <w:r w:rsidR="00034A18">
        <w:rPr>
          <w:sz w:val="24"/>
          <w:szCs w:val="24"/>
        </w:rPr>
        <w:t xml:space="preserve">they </w:t>
      </w:r>
      <w:r w:rsidRPr="00E45A1C">
        <w:rPr>
          <w:sz w:val="24"/>
          <w:szCs w:val="24"/>
        </w:rPr>
        <w:t xml:space="preserve">had a certain state of mind when </w:t>
      </w:r>
      <w:r w:rsidR="00034A18">
        <w:rPr>
          <w:sz w:val="24"/>
          <w:szCs w:val="24"/>
        </w:rPr>
        <w:t xml:space="preserve">they </w:t>
      </w:r>
      <w:r w:rsidRPr="00E45A1C">
        <w:rPr>
          <w:sz w:val="24"/>
          <w:szCs w:val="24"/>
        </w:rPr>
        <w:t xml:space="preserve">engaged in a particular act.  </w:t>
      </w:r>
      <w:r w:rsidR="00034A18">
        <w:rPr>
          <w:sz w:val="24"/>
          <w:szCs w:val="24"/>
        </w:rPr>
        <w:t xml:space="preserve">Their </w:t>
      </w:r>
      <w:r w:rsidRPr="00E45A1C">
        <w:rPr>
          <w:sz w:val="24"/>
          <w:szCs w:val="24"/>
        </w:rPr>
        <w:t xml:space="preserve">state of mind may be gathered from </w:t>
      </w:r>
      <w:r w:rsidR="00034A18">
        <w:rPr>
          <w:sz w:val="24"/>
          <w:szCs w:val="24"/>
        </w:rPr>
        <w:t xml:space="preserve">their </w:t>
      </w:r>
      <w:r w:rsidRPr="00E45A1C">
        <w:rPr>
          <w:sz w:val="24"/>
          <w:szCs w:val="24"/>
        </w:rPr>
        <w:t xml:space="preserve">acts and </w:t>
      </w:r>
      <w:r w:rsidR="00034A18">
        <w:rPr>
          <w:sz w:val="24"/>
          <w:szCs w:val="24"/>
        </w:rPr>
        <w:t xml:space="preserve">their </w:t>
      </w:r>
      <w:r w:rsidRPr="00E45A1C">
        <w:rPr>
          <w:sz w:val="24"/>
          <w:szCs w:val="24"/>
        </w:rPr>
        <w:t xml:space="preserve">conduct, and from all </w:t>
      </w:r>
      <w:r w:rsidR="00034A18">
        <w:rPr>
          <w:sz w:val="24"/>
          <w:szCs w:val="24"/>
        </w:rPr>
        <w:t xml:space="preserve">they </w:t>
      </w:r>
      <w:r w:rsidRPr="00E45A1C">
        <w:rPr>
          <w:sz w:val="24"/>
          <w:szCs w:val="24"/>
        </w:rPr>
        <w:t xml:space="preserve">said and did at the particular time and place, and from all of </w:t>
      </w:r>
      <w:r w:rsidRPr="00E45A1C">
        <w:rPr>
          <w:sz w:val="24"/>
          <w:szCs w:val="24"/>
        </w:rPr>
        <w:lastRenderedPageBreak/>
        <w:t>the surrounding circumstances.</w:t>
      </w:r>
    </w:p>
    <w:p w14:paraId="25674473" w14:textId="2A3B8A34" w:rsidR="00CF3384" w:rsidRDefault="0069122F" w:rsidP="00CF3384">
      <w:pPr>
        <w:spacing w:line="480" w:lineRule="auto"/>
        <w:ind w:firstLine="720"/>
        <w:jc w:val="both"/>
        <w:rPr>
          <w:sz w:val="24"/>
          <w:szCs w:val="24"/>
        </w:rPr>
      </w:pPr>
      <w:r>
        <w:rPr>
          <w:sz w:val="24"/>
          <w:szCs w:val="24"/>
        </w:rPr>
        <w:t xml:space="preserve">The State need not prove that the defendant </w:t>
      </w:r>
      <w:r w:rsidRPr="0069122F">
        <w:rPr>
          <w:sz w:val="24"/>
          <w:szCs w:val="24"/>
        </w:rPr>
        <w:t xml:space="preserve">knew that any other person was present in the residential dwelling or accommodation when </w:t>
      </w:r>
      <w:r>
        <w:rPr>
          <w:sz w:val="24"/>
          <w:szCs w:val="24"/>
        </w:rPr>
        <w:t>he/she</w:t>
      </w:r>
      <w:r w:rsidRPr="0069122F">
        <w:rPr>
          <w:sz w:val="24"/>
          <w:szCs w:val="24"/>
        </w:rPr>
        <w:t xml:space="preserve"> entered or surreptitiously remained therein, and it shall not be a defense that the </w:t>
      </w:r>
      <w:r>
        <w:rPr>
          <w:sz w:val="24"/>
          <w:szCs w:val="24"/>
        </w:rPr>
        <w:t>defendant</w:t>
      </w:r>
      <w:r w:rsidRPr="0069122F">
        <w:rPr>
          <w:sz w:val="24"/>
          <w:szCs w:val="24"/>
        </w:rPr>
        <w:t xml:space="preserve"> did not know that any other person was present in the residential dwelling or accommodation when </w:t>
      </w:r>
      <w:r>
        <w:rPr>
          <w:sz w:val="24"/>
          <w:szCs w:val="24"/>
        </w:rPr>
        <w:t>he/she</w:t>
      </w:r>
      <w:r w:rsidRPr="0069122F">
        <w:rPr>
          <w:sz w:val="24"/>
          <w:szCs w:val="24"/>
        </w:rPr>
        <w:t xml:space="preserve"> entered or surreptitiously remained therein.</w:t>
      </w:r>
      <w:r w:rsidR="006766B9" w:rsidRPr="006766B9">
        <w:rPr>
          <w:rStyle w:val="FootnoteReference"/>
          <w:bCs/>
          <w:sz w:val="24"/>
          <w:szCs w:val="24"/>
        </w:rPr>
        <w:footnoteReference w:id="6"/>
      </w:r>
    </w:p>
    <w:p w14:paraId="4B7E3BA7" w14:textId="2286A373" w:rsidR="007A4739" w:rsidRPr="00DB0B32" w:rsidRDefault="0069122F" w:rsidP="00DB0B32">
      <w:pPr>
        <w:spacing w:line="480" w:lineRule="auto"/>
        <w:ind w:firstLine="720"/>
        <w:jc w:val="both"/>
        <w:rPr>
          <w:sz w:val="24"/>
          <w:szCs w:val="24"/>
        </w:rPr>
      </w:pPr>
      <w:r w:rsidRPr="00456EBB">
        <w:rPr>
          <w:sz w:val="24"/>
          <w:szCs w:val="24"/>
        </w:rPr>
        <w:lastRenderedPageBreak/>
        <w:t>If you find that the State has proved the crime charged and each of its elements beyond a</w:t>
      </w:r>
      <w:r>
        <w:rPr>
          <w:sz w:val="24"/>
          <w:szCs w:val="24"/>
        </w:rPr>
        <w:t xml:space="preserve"> </w:t>
      </w:r>
      <w:r w:rsidRPr="00456EBB">
        <w:rPr>
          <w:sz w:val="24"/>
          <w:szCs w:val="24"/>
        </w:rPr>
        <w:t>reasonable doubt, then you must find the defendant guilty</w:t>
      </w:r>
      <w:r>
        <w:rPr>
          <w:sz w:val="24"/>
          <w:szCs w:val="24"/>
        </w:rPr>
        <w:t>.</w:t>
      </w:r>
      <w:r w:rsidR="00CA4CFC">
        <w:rPr>
          <w:sz w:val="24"/>
          <w:szCs w:val="24"/>
        </w:rPr>
        <w:t xml:space="preserve"> </w:t>
      </w:r>
      <w:r w:rsidRPr="00456EBB">
        <w:rPr>
          <w:sz w:val="24"/>
          <w:szCs w:val="24"/>
        </w:rPr>
        <w:t>If you find that the State has failed to prove any element beyond a reasonable doubt, then</w:t>
      </w:r>
      <w:r>
        <w:rPr>
          <w:sz w:val="24"/>
          <w:szCs w:val="24"/>
        </w:rPr>
        <w:t xml:space="preserve"> </w:t>
      </w:r>
      <w:r w:rsidRPr="00456EBB">
        <w:rPr>
          <w:sz w:val="24"/>
          <w:szCs w:val="24"/>
        </w:rPr>
        <w:t>you must find the defendant not guilty.</w:t>
      </w:r>
      <w:r w:rsidR="00CA4CFC">
        <w:rPr>
          <w:sz w:val="24"/>
          <w:szCs w:val="24"/>
        </w:rPr>
        <w:t xml:space="preserve"> </w:t>
      </w:r>
      <w:r w:rsidR="00CA4CFC">
        <w:rPr>
          <w:sz w:val="24"/>
          <w:szCs w:val="24"/>
        </w:rPr>
        <w:tab/>
      </w:r>
    </w:p>
    <w:sectPr w:rsidR="007A4739" w:rsidRPr="00DB0B32" w:rsidSect="00DF46B1">
      <w:headerReference w:type="default" r:id="rId8"/>
      <w:footerReference w:type="default" r:id="rId9"/>
      <w:headerReference w:type="first" r:id="rId10"/>
      <w:footerReference w:type="first" r:id="rId11"/>
      <w:pgSz w:w="12240" w:h="15840" w:code="1"/>
      <w:pgMar w:top="1296" w:right="1440" w:bottom="907" w:left="1440" w:header="72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7AC3F" w14:textId="77777777" w:rsidR="00AC6FA5" w:rsidRDefault="00AC6FA5" w:rsidP="00DF46B1">
      <w:r>
        <w:separator/>
      </w:r>
    </w:p>
  </w:endnote>
  <w:endnote w:type="continuationSeparator" w:id="0">
    <w:p w14:paraId="571E4B37" w14:textId="77777777" w:rsidR="00AC6FA5" w:rsidRDefault="00AC6FA5" w:rsidP="00DF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BD3D" w14:textId="77777777" w:rsidR="00306C5F" w:rsidRPr="00A80687" w:rsidRDefault="00306C5F" w:rsidP="00A80687">
    <w:pPr>
      <w:pStyle w:val="Footer"/>
      <w:jc w:val="center"/>
      <w:rPr>
        <w:sz w:val="22"/>
        <w:szCs w:val="22"/>
      </w:rPr>
    </w:pPr>
    <w:r w:rsidRPr="00A80687">
      <w:rPr>
        <w:sz w:val="22"/>
        <w:szCs w:val="22"/>
      </w:rPr>
      <w:t xml:space="preserve">Page </w:t>
    </w:r>
    <w:r w:rsidRPr="00A80687">
      <w:rPr>
        <w:sz w:val="22"/>
        <w:szCs w:val="22"/>
      </w:rPr>
      <w:fldChar w:fldCharType="begin"/>
    </w:r>
    <w:r w:rsidRPr="00A80687">
      <w:rPr>
        <w:sz w:val="22"/>
        <w:szCs w:val="22"/>
      </w:rPr>
      <w:instrText xml:space="preserve"> PAGE </w:instrText>
    </w:r>
    <w:r w:rsidRPr="00A80687">
      <w:rPr>
        <w:sz w:val="22"/>
        <w:szCs w:val="22"/>
      </w:rPr>
      <w:fldChar w:fldCharType="separate"/>
    </w:r>
    <w:r>
      <w:rPr>
        <w:noProof/>
        <w:sz w:val="22"/>
        <w:szCs w:val="22"/>
      </w:rPr>
      <w:t>6</w:t>
    </w:r>
    <w:r w:rsidRPr="00A80687">
      <w:rPr>
        <w:sz w:val="22"/>
        <w:szCs w:val="22"/>
      </w:rPr>
      <w:fldChar w:fldCharType="end"/>
    </w:r>
    <w:r w:rsidRPr="00A80687">
      <w:rPr>
        <w:sz w:val="22"/>
        <w:szCs w:val="22"/>
      </w:rPr>
      <w:t xml:space="preserve"> of </w:t>
    </w:r>
    <w:r w:rsidRPr="00A80687">
      <w:rPr>
        <w:sz w:val="22"/>
        <w:szCs w:val="22"/>
      </w:rPr>
      <w:fldChar w:fldCharType="begin"/>
    </w:r>
    <w:r w:rsidRPr="00A80687">
      <w:rPr>
        <w:sz w:val="22"/>
        <w:szCs w:val="22"/>
      </w:rPr>
      <w:instrText xml:space="preserve"> NUMPAGES </w:instrText>
    </w:r>
    <w:r w:rsidRPr="00A80687">
      <w:rPr>
        <w:sz w:val="22"/>
        <w:szCs w:val="22"/>
      </w:rPr>
      <w:fldChar w:fldCharType="separate"/>
    </w:r>
    <w:r>
      <w:rPr>
        <w:noProof/>
        <w:sz w:val="22"/>
        <w:szCs w:val="22"/>
      </w:rPr>
      <w:t>6</w:t>
    </w:r>
    <w:r w:rsidRPr="00A80687">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7349" w14:textId="77777777" w:rsidR="00306C5F" w:rsidRPr="00A80687" w:rsidRDefault="00306C5F" w:rsidP="00A80687">
    <w:pPr>
      <w:pStyle w:val="Footer"/>
      <w:jc w:val="center"/>
      <w:rPr>
        <w:sz w:val="22"/>
        <w:szCs w:val="22"/>
      </w:rPr>
    </w:pPr>
    <w:r w:rsidRPr="00A80687">
      <w:rPr>
        <w:sz w:val="22"/>
        <w:szCs w:val="22"/>
      </w:rPr>
      <w:t xml:space="preserve">Page </w:t>
    </w:r>
    <w:r w:rsidRPr="00A80687">
      <w:rPr>
        <w:sz w:val="22"/>
        <w:szCs w:val="22"/>
      </w:rPr>
      <w:fldChar w:fldCharType="begin"/>
    </w:r>
    <w:r w:rsidRPr="00A80687">
      <w:rPr>
        <w:sz w:val="22"/>
        <w:szCs w:val="22"/>
      </w:rPr>
      <w:instrText xml:space="preserve"> PAGE </w:instrText>
    </w:r>
    <w:r w:rsidRPr="00A80687">
      <w:rPr>
        <w:sz w:val="22"/>
        <w:szCs w:val="22"/>
      </w:rPr>
      <w:fldChar w:fldCharType="separate"/>
    </w:r>
    <w:r>
      <w:rPr>
        <w:noProof/>
        <w:sz w:val="22"/>
        <w:szCs w:val="22"/>
      </w:rPr>
      <w:t>1</w:t>
    </w:r>
    <w:r w:rsidRPr="00A80687">
      <w:rPr>
        <w:sz w:val="22"/>
        <w:szCs w:val="22"/>
      </w:rPr>
      <w:fldChar w:fldCharType="end"/>
    </w:r>
    <w:r w:rsidRPr="00A80687">
      <w:rPr>
        <w:sz w:val="22"/>
        <w:szCs w:val="22"/>
      </w:rPr>
      <w:t xml:space="preserve"> of </w:t>
    </w:r>
    <w:r w:rsidRPr="00A80687">
      <w:rPr>
        <w:sz w:val="22"/>
        <w:szCs w:val="22"/>
      </w:rPr>
      <w:fldChar w:fldCharType="begin"/>
    </w:r>
    <w:r w:rsidRPr="00A80687">
      <w:rPr>
        <w:sz w:val="22"/>
        <w:szCs w:val="22"/>
      </w:rPr>
      <w:instrText xml:space="preserve"> NUMPAGES </w:instrText>
    </w:r>
    <w:r w:rsidRPr="00A80687">
      <w:rPr>
        <w:sz w:val="22"/>
        <w:szCs w:val="22"/>
      </w:rPr>
      <w:fldChar w:fldCharType="separate"/>
    </w:r>
    <w:r>
      <w:rPr>
        <w:noProof/>
        <w:sz w:val="22"/>
        <w:szCs w:val="22"/>
      </w:rPr>
      <w:t>6</w:t>
    </w:r>
    <w:r w:rsidRPr="00A8068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2AF66" w14:textId="77777777" w:rsidR="00AC6FA5" w:rsidRDefault="00AC6FA5" w:rsidP="00DF46B1">
      <w:r>
        <w:separator/>
      </w:r>
    </w:p>
  </w:footnote>
  <w:footnote w:type="continuationSeparator" w:id="0">
    <w:p w14:paraId="21B31289" w14:textId="77777777" w:rsidR="00AC6FA5" w:rsidRDefault="00AC6FA5" w:rsidP="00DF46B1">
      <w:r>
        <w:continuationSeparator/>
      </w:r>
    </w:p>
  </w:footnote>
  <w:footnote w:id="1">
    <w:p w14:paraId="1FED1F1A" w14:textId="270AFE3A" w:rsidR="00500EF1" w:rsidRPr="0038151E" w:rsidRDefault="00500EF1">
      <w:pPr>
        <w:pStyle w:val="FootnoteText"/>
      </w:pPr>
      <w:r w:rsidRPr="0038151E">
        <w:rPr>
          <w:rStyle w:val="FootnoteReference"/>
        </w:rPr>
        <w:footnoteRef/>
      </w:r>
      <w:r w:rsidRPr="0038151E">
        <w:t xml:space="preserve">  </w:t>
      </w:r>
      <w:r w:rsidRPr="0038151E">
        <w:tab/>
        <w:t>N.J.S.A. 2C:18-1.</w:t>
      </w:r>
    </w:p>
  </w:footnote>
  <w:footnote w:id="2">
    <w:p w14:paraId="41E11EDA" w14:textId="77777777" w:rsidR="00DF46B1" w:rsidRPr="0038151E" w:rsidRDefault="00DF46B1" w:rsidP="00DF46B1">
      <w:pPr>
        <w:tabs>
          <w:tab w:val="left" w:pos="720"/>
        </w:tabs>
        <w:jc w:val="both"/>
      </w:pPr>
      <w:r w:rsidRPr="0038151E">
        <w:rPr>
          <w:rStyle w:val="FootnoteReference"/>
          <w:rFonts w:eastAsiaTheme="majorEastAsia"/>
        </w:rPr>
        <w:footnoteRef/>
      </w:r>
      <w:r w:rsidRPr="0038151E">
        <w:t xml:space="preserve">     </w:t>
      </w:r>
      <w:r w:rsidRPr="0038151E">
        <w:tab/>
      </w:r>
      <w:r w:rsidRPr="0038151E">
        <w:rPr>
          <w:u w:val="single"/>
        </w:rPr>
        <w:t>State v. Robinson</w:t>
      </w:r>
      <w:r w:rsidRPr="0038151E">
        <w:t>, 289 N.J. Super. 447, 455 (App. Div. 1996); N.J.S.A. 2C:1-14k.</w:t>
      </w:r>
    </w:p>
  </w:footnote>
  <w:footnote w:id="3">
    <w:p w14:paraId="74695959" w14:textId="5F5E37C2" w:rsidR="00DF46B1" w:rsidRPr="0038151E" w:rsidRDefault="00DF46B1" w:rsidP="00DF46B1">
      <w:pPr>
        <w:tabs>
          <w:tab w:val="left" w:pos="-90"/>
        </w:tabs>
        <w:jc w:val="both"/>
      </w:pPr>
      <w:r w:rsidRPr="0038151E">
        <w:rPr>
          <w:rStyle w:val="FootnoteReference"/>
          <w:rFonts w:eastAsiaTheme="majorEastAsia"/>
        </w:rPr>
        <w:footnoteRef/>
      </w:r>
      <w:r w:rsidRPr="0038151E">
        <w:t xml:space="preserve">     </w:t>
      </w:r>
      <w:r w:rsidRPr="0038151E">
        <w:tab/>
        <w:t xml:space="preserve">“[W]here the circumstances surrounding the unlawful entry do not give rise to any ambiguity or uncertainty as to a defendant’s purpose in entering a structure without privilege to do so [and] led inevitably and reasonably to the conclusion that </w:t>
      </w:r>
      <w:r w:rsidRPr="0038151E">
        <w:rPr>
          <w:u w:val="single"/>
        </w:rPr>
        <w:t>some</w:t>
      </w:r>
      <w:r w:rsidRPr="0038151E">
        <w:t xml:space="preserve"> unlawful act is intended to be committed inside the structure, then specific instructions delineating the precise unlawful acts intended are unnecessary.” </w:t>
      </w:r>
      <w:r w:rsidRPr="0038151E">
        <w:rPr>
          <w:u w:val="single"/>
        </w:rPr>
        <w:t>Robinson</w:t>
      </w:r>
      <w:r w:rsidRPr="0038151E">
        <w:t xml:space="preserve">, 289 N.J. Super. at 458 (emphasis in original).  However, where the circumstances surrounding defendant’s purpose in entering or surreptitiously remaining in the structure or research facility are ambiguous, </w:t>
      </w:r>
      <w:r w:rsidRPr="0038151E">
        <w:rPr>
          <w:u w:val="single"/>
        </w:rPr>
        <w:t>i.e.</w:t>
      </w:r>
      <w:r w:rsidRPr="0038151E">
        <w:t xml:space="preserve">, the evidence suggests both criminal and non-criminal purposes for the entry, then it might be necessary to direct the jury’s consideration to the specific criminal acts alleged in the indictment, if there are any. </w:t>
      </w:r>
      <w:r w:rsidRPr="0038151E">
        <w:rPr>
          <w:u w:val="single"/>
        </w:rPr>
        <w:t>See,</w:t>
      </w:r>
      <w:r w:rsidR="00EE1BB4" w:rsidRPr="0038151E">
        <w:rPr>
          <w:u w:val="single"/>
        </w:rPr>
        <w:t xml:space="preserve"> e.g.</w:t>
      </w:r>
      <w:r w:rsidR="00EE1BB4" w:rsidRPr="0038151E">
        <w:t>,</w:t>
      </w:r>
      <w:r w:rsidRPr="0038151E">
        <w:t xml:space="preserve"> </w:t>
      </w:r>
      <w:r w:rsidRPr="0038151E">
        <w:rPr>
          <w:u w:val="single"/>
        </w:rPr>
        <w:t>State v. Marquez</w:t>
      </w:r>
      <w:r w:rsidRPr="0038151E">
        <w:t>, 277 N.J. Super. 162, 168-69 (App. Div. 1994).</w:t>
      </w:r>
    </w:p>
  </w:footnote>
  <w:footnote w:id="4">
    <w:p w14:paraId="0895A877" w14:textId="77777777" w:rsidR="00DF46B1" w:rsidRPr="0038151E" w:rsidRDefault="00DF46B1" w:rsidP="00DF46B1">
      <w:pPr>
        <w:tabs>
          <w:tab w:val="left" w:pos="720"/>
        </w:tabs>
        <w:jc w:val="both"/>
      </w:pPr>
      <w:r w:rsidRPr="0038151E">
        <w:rPr>
          <w:rStyle w:val="FootnoteReference"/>
          <w:rFonts w:eastAsiaTheme="majorEastAsia"/>
        </w:rPr>
        <w:footnoteRef/>
      </w:r>
      <w:r w:rsidRPr="0038151E">
        <w:t xml:space="preserve">     </w:t>
      </w:r>
      <w:r w:rsidRPr="0038151E">
        <w:tab/>
        <w:t>N.J.S.A. 2C:2-2</w:t>
      </w:r>
      <w:proofErr w:type="gramStart"/>
      <w:r w:rsidRPr="0038151E">
        <w:t>b(</w:t>
      </w:r>
      <w:proofErr w:type="gramEnd"/>
      <w:r w:rsidRPr="0038151E">
        <w:t>1).</w:t>
      </w:r>
    </w:p>
  </w:footnote>
  <w:footnote w:id="5">
    <w:p w14:paraId="706C9DE4" w14:textId="2F3151EA" w:rsidR="00DF46B1" w:rsidRPr="0038151E" w:rsidRDefault="00DF46B1" w:rsidP="00DF46B1">
      <w:pPr>
        <w:tabs>
          <w:tab w:val="left" w:pos="-90"/>
          <w:tab w:val="left" w:pos="0"/>
        </w:tabs>
        <w:jc w:val="both"/>
      </w:pPr>
      <w:r w:rsidRPr="0038151E">
        <w:rPr>
          <w:rStyle w:val="FootnoteReference"/>
          <w:rFonts w:eastAsiaTheme="majorEastAsia"/>
        </w:rPr>
        <w:footnoteRef/>
      </w:r>
      <w:r w:rsidRPr="0038151E">
        <w:t xml:space="preserve">     </w:t>
      </w:r>
      <w:r w:rsidRPr="0038151E">
        <w:tab/>
        <w:t xml:space="preserve">If the jury may find from the facts that although defendant entered the </w:t>
      </w:r>
      <w:r w:rsidR="001E7912" w:rsidRPr="0038151E">
        <w:t xml:space="preserve">residential dwelling or accommodation </w:t>
      </w:r>
      <w:r w:rsidRPr="0038151E">
        <w:t xml:space="preserve">without permission, he did not do so with the purpose to commit an offense therein, then the unauthorized entry may constitute a criminal trespass. In that case, the jury should be charged on the appropriate lesser included offense of criminal trespass.  </w:t>
      </w:r>
      <w:r w:rsidRPr="0038151E">
        <w:rPr>
          <w:u w:val="single"/>
        </w:rPr>
        <w:t>See</w:t>
      </w:r>
      <w:r w:rsidRPr="0038151E">
        <w:t xml:space="preserve"> N.J.S.A. 2C:18-3.</w:t>
      </w:r>
    </w:p>
  </w:footnote>
  <w:footnote w:id="6">
    <w:p w14:paraId="07D126D5" w14:textId="77777777" w:rsidR="006766B9" w:rsidRDefault="006766B9" w:rsidP="00222009">
      <w:pPr>
        <w:pStyle w:val="FootnoteText"/>
        <w:keepLines/>
        <w:widowControl/>
        <w:jc w:val="both"/>
      </w:pPr>
      <w:r>
        <w:rPr>
          <w:rStyle w:val="FootnoteReference"/>
        </w:rPr>
        <w:footnoteRef/>
      </w:r>
      <w:r w:rsidRPr="00CF3384">
        <w:t xml:space="preserve"> </w:t>
      </w:r>
      <w:r w:rsidRPr="00CF3384">
        <w:tab/>
        <w:t>N.J.S.A. 2C:18-2.2c provides th</w:t>
      </w:r>
      <w:r>
        <w:t>at:</w:t>
      </w:r>
    </w:p>
    <w:p w14:paraId="7DCB71F2" w14:textId="77777777" w:rsidR="006766B9" w:rsidRDefault="006766B9" w:rsidP="00222009">
      <w:pPr>
        <w:pStyle w:val="FootnoteText"/>
        <w:keepLines/>
        <w:widowControl/>
        <w:jc w:val="both"/>
      </w:pPr>
    </w:p>
    <w:p w14:paraId="00DF5671" w14:textId="77777777" w:rsidR="006766B9" w:rsidRDefault="006766B9" w:rsidP="00222009">
      <w:pPr>
        <w:pStyle w:val="FootnoteText"/>
        <w:keepLines/>
        <w:widowControl/>
        <w:ind w:left="1440" w:right="1440"/>
        <w:jc w:val="both"/>
      </w:pPr>
      <w:r w:rsidRPr="00CF3384">
        <w:t>Residential burglary is a crime of the second degree, subject to section 2 of P.L.1997, c.117 (C.2C:43-7.2), unless the actor demonstrates by a preponderance of evidence that the actor reasonably believed that no resident or any other person, other than a person acting in concert with the actor, was present in the residential dwelling or accommodation when the actor entered or surreptitiously remained therein, in which case the offense is a crime of the second degree, not subject to section 2 of P.L.1997, c.117 (C.2C:43-7.2).</w:t>
      </w:r>
    </w:p>
    <w:p w14:paraId="1303D48B" w14:textId="77777777" w:rsidR="006766B9" w:rsidRDefault="006766B9" w:rsidP="00222009">
      <w:pPr>
        <w:pStyle w:val="FootnoteText"/>
        <w:keepLines/>
        <w:widowControl/>
        <w:ind w:left="1440" w:right="1440"/>
        <w:jc w:val="both"/>
      </w:pPr>
    </w:p>
    <w:p w14:paraId="14FD8169" w14:textId="77777777" w:rsidR="006766B9" w:rsidRDefault="006766B9" w:rsidP="00222009">
      <w:pPr>
        <w:pStyle w:val="FootnoteText"/>
        <w:keepLines/>
        <w:widowControl/>
        <w:jc w:val="both"/>
      </w:pPr>
      <w:r>
        <w:t xml:space="preserve">N.J.S.A. 2C:18-2.2c creates neither an element of the crime of residential burglary, </w:t>
      </w:r>
      <w:r>
        <w:rPr>
          <w:u w:val="single"/>
        </w:rPr>
        <w:t>see</w:t>
      </w:r>
      <w:r>
        <w:t xml:space="preserve"> N.J.S.A. 2C:1-14h, nor an affirmative defense, </w:t>
      </w:r>
      <w:r>
        <w:rPr>
          <w:u w:val="single"/>
        </w:rPr>
        <w:t>see</w:t>
      </w:r>
      <w:r>
        <w:t xml:space="preserve"> N.J.S.A. 2C:1-13c; N.J.S.A. 2C:3-1.  Rather, subsection c. establishes a sentencing defense, which, if proven by the defendant by a preponderance of evidence, removes the mandatory application of the sentencing provisions in the No Early Release Act, N.J.S.A. 2C:43-7.2.  Subsection c. is silent, however, concerning to whom the defendant must prove the defense and at which stage in the criminal proceedings it must be proven.  To that end, N.J.S.A. 2C:1-13d provides that:</w:t>
      </w:r>
    </w:p>
    <w:p w14:paraId="5C5A5EDD" w14:textId="77777777" w:rsidR="006766B9" w:rsidRDefault="006766B9" w:rsidP="00222009">
      <w:pPr>
        <w:pStyle w:val="FootnoteText"/>
        <w:keepLines/>
        <w:widowControl/>
        <w:jc w:val="both"/>
      </w:pPr>
    </w:p>
    <w:p w14:paraId="11F631F2" w14:textId="77777777" w:rsidR="006766B9" w:rsidRDefault="006766B9" w:rsidP="00222009">
      <w:pPr>
        <w:pStyle w:val="FootnoteText"/>
        <w:keepLines/>
        <w:widowControl/>
        <w:ind w:left="1440" w:right="1440"/>
        <w:jc w:val="both"/>
      </w:pPr>
      <w:r>
        <w:t>When the application of the code depends upon the finding of a fact which is not an element of an offense, unless the code otherwise provides:</w:t>
      </w:r>
    </w:p>
    <w:p w14:paraId="2CE6D10E" w14:textId="77777777" w:rsidR="006766B9" w:rsidRDefault="006766B9" w:rsidP="00222009">
      <w:pPr>
        <w:pStyle w:val="FootnoteText"/>
        <w:keepLines/>
        <w:widowControl/>
        <w:ind w:left="1440" w:right="1440"/>
        <w:jc w:val="both"/>
      </w:pPr>
    </w:p>
    <w:p w14:paraId="2DEECC25" w14:textId="77777777" w:rsidR="006766B9" w:rsidRDefault="006766B9" w:rsidP="00222009">
      <w:pPr>
        <w:pStyle w:val="FootnoteText"/>
        <w:keepLines/>
        <w:widowControl/>
        <w:ind w:left="1440" w:right="1440"/>
        <w:jc w:val="both"/>
      </w:pPr>
      <w:r>
        <w:t>(1) The burden of proving the fact is on the prosecution or defendant, depending on whose interest or contention will be furthered if the finding should be made; and</w:t>
      </w:r>
    </w:p>
    <w:p w14:paraId="3D1A7AE9" w14:textId="77777777" w:rsidR="006766B9" w:rsidRDefault="006766B9" w:rsidP="00222009">
      <w:pPr>
        <w:pStyle w:val="FootnoteText"/>
        <w:keepLines/>
        <w:widowControl/>
        <w:ind w:left="1440" w:right="1440"/>
        <w:jc w:val="both"/>
      </w:pPr>
    </w:p>
    <w:p w14:paraId="3BEA23D2" w14:textId="77777777" w:rsidR="006766B9" w:rsidRDefault="006766B9" w:rsidP="00222009">
      <w:pPr>
        <w:pStyle w:val="FootnoteText"/>
        <w:keepLines/>
        <w:widowControl/>
        <w:ind w:left="1440" w:right="1440"/>
        <w:jc w:val="both"/>
      </w:pPr>
      <w:r>
        <w:t xml:space="preserve">(2) The fact must be proved </w:t>
      </w:r>
      <w:r w:rsidRPr="00CE1629">
        <w:rPr>
          <w:u w:val="single"/>
        </w:rPr>
        <w:t xml:space="preserve">to the satisfaction of the court or </w:t>
      </w:r>
      <w:proofErr w:type="gramStart"/>
      <w:r w:rsidRPr="00CE1629">
        <w:rPr>
          <w:u w:val="single"/>
        </w:rPr>
        <w:t>jury, as the case may be</w:t>
      </w:r>
      <w:proofErr w:type="gramEnd"/>
      <w:r>
        <w:t>.</w:t>
      </w:r>
    </w:p>
    <w:p w14:paraId="206D0DB3" w14:textId="77777777" w:rsidR="006766B9" w:rsidRDefault="006766B9" w:rsidP="00222009">
      <w:pPr>
        <w:pStyle w:val="FootnoteText"/>
        <w:keepLines/>
        <w:widowControl/>
        <w:ind w:left="1440" w:right="1440"/>
        <w:jc w:val="both"/>
      </w:pPr>
    </w:p>
    <w:p w14:paraId="12B360C6" w14:textId="77777777" w:rsidR="006766B9" w:rsidRDefault="006766B9" w:rsidP="00222009">
      <w:pPr>
        <w:pStyle w:val="FootnoteText"/>
        <w:keepLines/>
        <w:widowControl/>
        <w:ind w:left="1440" w:right="1440"/>
        <w:jc w:val="both"/>
      </w:pPr>
      <w:r>
        <w:t>[(Emphasis added).]</w:t>
      </w:r>
    </w:p>
    <w:p w14:paraId="0694501E" w14:textId="77777777" w:rsidR="006766B9" w:rsidRDefault="006766B9" w:rsidP="00222009">
      <w:pPr>
        <w:pStyle w:val="FootnoteText"/>
        <w:keepLines/>
        <w:widowControl/>
        <w:jc w:val="both"/>
      </w:pPr>
    </w:p>
    <w:p w14:paraId="02D24D9E" w14:textId="26C61C6E" w:rsidR="00212E60" w:rsidRPr="005B13B0" w:rsidRDefault="006766B9" w:rsidP="00212E60">
      <w:pPr>
        <w:pStyle w:val="FootnoteText"/>
        <w:keepLines/>
        <w:widowControl/>
        <w:jc w:val="both"/>
      </w:pPr>
      <w:r>
        <w:t xml:space="preserve">While subsection c. is not a sentencing enhancement, which would otherwise require the jury — not the sentencing court — to decide, </w:t>
      </w:r>
      <w:r>
        <w:rPr>
          <w:u w:val="single"/>
        </w:rPr>
        <w:t>see, e.g.</w:t>
      </w:r>
      <w:r>
        <w:t xml:space="preserve">, </w:t>
      </w:r>
      <w:r>
        <w:rPr>
          <w:u w:val="single"/>
        </w:rPr>
        <w:t>Erlinger v. United States</w:t>
      </w:r>
      <w:r>
        <w:t xml:space="preserve">, 602 U.S. 821 (2024); </w:t>
      </w:r>
      <w:r>
        <w:rPr>
          <w:u w:val="single"/>
        </w:rPr>
        <w:t>State v. Carlton</w:t>
      </w:r>
      <w:r>
        <w:t xml:space="preserve">, 480 N.J. Super. 311 (App. Div. 2024), the Criminal Code offers no additional guidance, as no other crimes or offenses include a similar sentencing defense.  </w:t>
      </w:r>
      <w:r>
        <w:rPr>
          <w:u w:val="single"/>
        </w:rPr>
        <w:t>But see</w:t>
      </w:r>
      <w:r>
        <w:t xml:space="preserve"> N.J.S.A. 2C:2-12b (establishing the affirmative defense of entrapment which “shall be tried by the trier of fact”); </w:t>
      </w:r>
      <w:r>
        <w:rPr>
          <w:u w:val="single"/>
        </w:rPr>
        <w:t>Model Jury Charge (Criminal)</w:t>
      </w:r>
      <w:r>
        <w:t xml:space="preserve">, “Entrapment (N.J.S.A. 2C:2-12)” (January 12, 1982).  Considering the </w:t>
      </w:r>
      <w:r w:rsidR="00D54095">
        <w:t xml:space="preserve">apparent </w:t>
      </w:r>
      <w:r>
        <w:t xml:space="preserve">ambiguity between subsections c. and b. of N.J.S.A. 2C:18-2.2 — the latter of which provides that </w:t>
      </w:r>
      <w:r w:rsidRPr="00DB0B32">
        <w:t xml:space="preserve">“it shall not be a defense that the </w:t>
      </w:r>
      <w:r>
        <w:t>[defendant]</w:t>
      </w:r>
      <w:r w:rsidRPr="00DB0B32">
        <w:t xml:space="preserve"> did not know that any other person was present in the residential dwelling or accommodation when the </w:t>
      </w:r>
      <w:r>
        <w:t>[defendant]</w:t>
      </w:r>
      <w:r w:rsidRPr="00DB0B32">
        <w:t xml:space="preserve"> entered or surreptitiously remained therein</w:t>
      </w:r>
      <w:r>
        <w:t xml:space="preserve">[]” — </w:t>
      </w:r>
      <w:bookmarkStart w:id="0" w:name="_Hlk207004772"/>
      <w:r w:rsidRPr="00DA66CA">
        <w:t xml:space="preserve">the </w:t>
      </w:r>
      <w:r w:rsidR="00DA66CA" w:rsidRPr="00DA66CA">
        <w:t>court may determine that</w:t>
      </w:r>
      <w:r w:rsidRPr="00DA66CA">
        <w:t xml:space="preserve"> </w:t>
      </w:r>
      <w:bookmarkEnd w:id="0"/>
      <w:r w:rsidR="00D54095" w:rsidRPr="00DA66CA">
        <w:t xml:space="preserve">that the jury should deliberate the sentencing defense in a bifurcated trial, in which </w:t>
      </w:r>
      <w:r w:rsidR="009B1A02" w:rsidRPr="00DA66CA">
        <w:t>the sentencing defense</w:t>
      </w:r>
      <w:r w:rsidR="00FA1258" w:rsidRPr="00DA66CA">
        <w:t xml:space="preserve"> </w:t>
      </w:r>
      <w:r w:rsidR="00D54095" w:rsidRPr="00DA66CA">
        <w:t xml:space="preserve">is severed from the </w:t>
      </w:r>
      <w:r w:rsidR="00FA1258" w:rsidRPr="00DA66CA">
        <w:t>residential burglary charge</w:t>
      </w:r>
      <w:r w:rsidR="00D54095" w:rsidRPr="00DA66CA">
        <w:t xml:space="preserve">.  </w:t>
      </w:r>
      <w:bookmarkStart w:id="1" w:name="_Hlk207004945"/>
      <w:r w:rsidR="00DA66CA" w:rsidRPr="00DA66CA">
        <w:t>Ultimately, the court may take such action as it deems appropriate</w:t>
      </w:r>
      <w:r w:rsidR="00212E60" w:rsidRPr="00DA66CA">
        <w:t>.</w:t>
      </w:r>
      <w:r w:rsidR="00212E60">
        <w:t xml:space="preserve">  </w:t>
      </w:r>
    </w:p>
    <w:bookmarkEnd w:id="1"/>
    <w:p w14:paraId="4ACD95DA" w14:textId="2D14F383" w:rsidR="006766B9" w:rsidRPr="005B13B0" w:rsidRDefault="006766B9" w:rsidP="00222009">
      <w:pPr>
        <w:pStyle w:val="FootnoteText"/>
        <w:keepLines/>
        <w:widowControl/>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2250" w14:textId="6835D5C1" w:rsidR="00306C5F" w:rsidRPr="00500EF1" w:rsidRDefault="00E90663">
    <w:pPr>
      <w:pStyle w:val="Heading2"/>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RESIDENTIAL</w:t>
    </w:r>
    <w:r w:rsidR="009A0316" w:rsidRPr="00500EF1">
      <w:rPr>
        <w:rFonts w:ascii="Times New Roman" w:hAnsi="Times New Roman" w:cs="Times New Roman"/>
        <w:b/>
        <w:color w:val="auto"/>
        <w:sz w:val="22"/>
        <w:szCs w:val="22"/>
        <w:u w:val="single"/>
      </w:rPr>
      <w:t xml:space="preserve"> </w:t>
    </w:r>
    <w:r w:rsidR="00306C5F" w:rsidRPr="00500EF1">
      <w:rPr>
        <w:rFonts w:ascii="Times New Roman" w:hAnsi="Times New Roman" w:cs="Times New Roman"/>
        <w:b/>
        <w:color w:val="auto"/>
        <w:sz w:val="22"/>
        <w:szCs w:val="22"/>
        <w:u w:val="single"/>
      </w:rPr>
      <w:t>BURGLARY</w:t>
    </w:r>
  </w:p>
  <w:p w14:paraId="55924488" w14:textId="74562AB2" w:rsidR="00306C5F" w:rsidRPr="00CB17C2" w:rsidRDefault="00306C5F">
    <w:pPr>
      <w:rPr>
        <w:b/>
        <w:sz w:val="22"/>
        <w:szCs w:val="22"/>
      </w:rPr>
    </w:pPr>
    <w:r w:rsidRPr="00CB17C2">
      <w:rPr>
        <w:b/>
        <w:sz w:val="22"/>
        <w:szCs w:val="22"/>
      </w:rPr>
      <w:t>(N.J.S.A. 2C:18</w:t>
    </w:r>
    <w:r w:rsidRPr="00CB17C2">
      <w:rPr>
        <w:b/>
        <w:sz w:val="22"/>
        <w:szCs w:val="22"/>
      </w:rPr>
      <w:noBreakHyphen/>
      <w:t>2</w:t>
    </w:r>
    <w:r w:rsidR="009A0316" w:rsidRPr="00CB17C2">
      <w:rPr>
        <w:b/>
        <w:sz w:val="22"/>
        <w:szCs w:val="22"/>
      </w:rPr>
      <w:t>.</w:t>
    </w:r>
    <w:r w:rsidR="00E90663">
      <w:rPr>
        <w:b/>
        <w:sz w:val="22"/>
        <w:szCs w:val="22"/>
      </w:rPr>
      <w:t>2</w:t>
    </w:r>
    <w:r w:rsidRPr="00CB17C2">
      <w:rPr>
        <w:b/>
        <w:sz w:val="22"/>
        <w:szCs w:val="22"/>
      </w:rPr>
      <w:t>)</w:t>
    </w:r>
  </w:p>
  <w:p w14:paraId="675BFDB4" w14:textId="77777777" w:rsidR="00306C5F" w:rsidRDefault="00306C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5858" w14:textId="6A5761DE" w:rsidR="00306C5F" w:rsidRPr="001F2513" w:rsidRDefault="00CB17C2" w:rsidP="00A80687">
    <w:pPr>
      <w:pStyle w:val="Header"/>
      <w:tabs>
        <w:tab w:val="clear" w:pos="8640"/>
        <w:tab w:val="right" w:pos="9450"/>
      </w:tabs>
      <w:jc w:val="right"/>
      <w:rPr>
        <w:b/>
        <w:sz w:val="22"/>
        <w:szCs w:val="22"/>
      </w:rPr>
    </w:pPr>
    <w:r>
      <w:rPr>
        <w:b/>
        <w:sz w:val="22"/>
        <w:szCs w:val="22"/>
      </w:rPr>
      <w:t xml:space="preserve">Approved </w:t>
    </w:r>
    <w:r w:rsidR="00034A18">
      <w:rPr>
        <w:b/>
        <w:sz w:val="22"/>
        <w:szCs w:val="22"/>
      </w:rPr>
      <w:t>8/18/25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85C"/>
    <w:multiLevelType w:val="hybridMultilevel"/>
    <w:tmpl w:val="DD547E42"/>
    <w:lvl w:ilvl="0" w:tplc="0BD07F32">
      <w:start w:val="1"/>
      <w:numFmt w:val="decimal"/>
      <w:lvlText w:val="%1)"/>
      <w:lvlJc w:val="left"/>
      <w:pPr>
        <w:ind w:left="720" w:hanging="360"/>
      </w:pPr>
    </w:lvl>
    <w:lvl w:ilvl="1" w:tplc="282447EA">
      <w:start w:val="1"/>
      <w:numFmt w:val="decimal"/>
      <w:lvlText w:val="%2)"/>
      <w:lvlJc w:val="left"/>
      <w:pPr>
        <w:ind w:left="720" w:hanging="360"/>
      </w:pPr>
    </w:lvl>
    <w:lvl w:ilvl="2" w:tplc="27D0E28C">
      <w:start w:val="1"/>
      <w:numFmt w:val="decimal"/>
      <w:lvlText w:val="%3)"/>
      <w:lvlJc w:val="left"/>
      <w:pPr>
        <w:ind w:left="720" w:hanging="360"/>
      </w:pPr>
    </w:lvl>
    <w:lvl w:ilvl="3" w:tplc="C6EA9B5C">
      <w:start w:val="1"/>
      <w:numFmt w:val="decimal"/>
      <w:lvlText w:val="%4)"/>
      <w:lvlJc w:val="left"/>
      <w:pPr>
        <w:ind w:left="720" w:hanging="360"/>
      </w:pPr>
    </w:lvl>
    <w:lvl w:ilvl="4" w:tplc="A860DBA6">
      <w:start w:val="1"/>
      <w:numFmt w:val="decimal"/>
      <w:lvlText w:val="%5)"/>
      <w:lvlJc w:val="left"/>
      <w:pPr>
        <w:ind w:left="720" w:hanging="360"/>
      </w:pPr>
    </w:lvl>
    <w:lvl w:ilvl="5" w:tplc="04FA6CB8">
      <w:start w:val="1"/>
      <w:numFmt w:val="decimal"/>
      <w:lvlText w:val="%6)"/>
      <w:lvlJc w:val="left"/>
      <w:pPr>
        <w:ind w:left="720" w:hanging="360"/>
      </w:pPr>
    </w:lvl>
    <w:lvl w:ilvl="6" w:tplc="5FA0D700">
      <w:start w:val="1"/>
      <w:numFmt w:val="decimal"/>
      <w:lvlText w:val="%7)"/>
      <w:lvlJc w:val="left"/>
      <w:pPr>
        <w:ind w:left="720" w:hanging="360"/>
      </w:pPr>
    </w:lvl>
    <w:lvl w:ilvl="7" w:tplc="BC242084">
      <w:start w:val="1"/>
      <w:numFmt w:val="decimal"/>
      <w:lvlText w:val="%8)"/>
      <w:lvlJc w:val="left"/>
      <w:pPr>
        <w:ind w:left="720" w:hanging="360"/>
      </w:pPr>
    </w:lvl>
    <w:lvl w:ilvl="8" w:tplc="C1741422">
      <w:start w:val="1"/>
      <w:numFmt w:val="decimal"/>
      <w:lvlText w:val="%9)"/>
      <w:lvlJc w:val="left"/>
      <w:pPr>
        <w:ind w:left="720" w:hanging="360"/>
      </w:pPr>
    </w:lvl>
  </w:abstractNum>
  <w:abstractNum w:abstractNumId="1" w15:restartNumberingAfterBreak="0">
    <w:nsid w:val="161A2910"/>
    <w:multiLevelType w:val="hybridMultilevel"/>
    <w:tmpl w:val="008A0EC4"/>
    <w:lvl w:ilvl="0" w:tplc="B946531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20187BA8"/>
    <w:multiLevelType w:val="hybridMultilevel"/>
    <w:tmpl w:val="3036D992"/>
    <w:lvl w:ilvl="0" w:tplc="8E2CB4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85160A"/>
    <w:multiLevelType w:val="hybridMultilevel"/>
    <w:tmpl w:val="407C43B6"/>
    <w:lvl w:ilvl="0" w:tplc="0FC8E848">
      <w:start w:val="1"/>
      <w:numFmt w:val="decimal"/>
      <w:lvlText w:val="%1)"/>
      <w:lvlJc w:val="left"/>
      <w:pPr>
        <w:ind w:left="1020" w:hanging="360"/>
      </w:pPr>
    </w:lvl>
    <w:lvl w:ilvl="1" w:tplc="9D762862">
      <w:start w:val="1"/>
      <w:numFmt w:val="decimal"/>
      <w:lvlText w:val="%2)"/>
      <w:lvlJc w:val="left"/>
      <w:pPr>
        <w:ind w:left="1020" w:hanging="360"/>
      </w:pPr>
    </w:lvl>
    <w:lvl w:ilvl="2" w:tplc="881AD068">
      <w:start w:val="1"/>
      <w:numFmt w:val="decimal"/>
      <w:lvlText w:val="%3)"/>
      <w:lvlJc w:val="left"/>
      <w:pPr>
        <w:ind w:left="1020" w:hanging="360"/>
      </w:pPr>
    </w:lvl>
    <w:lvl w:ilvl="3" w:tplc="D834EA16">
      <w:start w:val="1"/>
      <w:numFmt w:val="decimal"/>
      <w:lvlText w:val="%4)"/>
      <w:lvlJc w:val="left"/>
      <w:pPr>
        <w:ind w:left="1020" w:hanging="360"/>
      </w:pPr>
    </w:lvl>
    <w:lvl w:ilvl="4" w:tplc="CB74B71A">
      <w:start w:val="1"/>
      <w:numFmt w:val="decimal"/>
      <w:lvlText w:val="%5)"/>
      <w:lvlJc w:val="left"/>
      <w:pPr>
        <w:ind w:left="1020" w:hanging="360"/>
      </w:pPr>
    </w:lvl>
    <w:lvl w:ilvl="5" w:tplc="06F8D108">
      <w:start w:val="1"/>
      <w:numFmt w:val="decimal"/>
      <w:lvlText w:val="%6)"/>
      <w:lvlJc w:val="left"/>
      <w:pPr>
        <w:ind w:left="1020" w:hanging="360"/>
      </w:pPr>
    </w:lvl>
    <w:lvl w:ilvl="6" w:tplc="C24E9CCA">
      <w:start w:val="1"/>
      <w:numFmt w:val="decimal"/>
      <w:lvlText w:val="%7)"/>
      <w:lvlJc w:val="left"/>
      <w:pPr>
        <w:ind w:left="1020" w:hanging="360"/>
      </w:pPr>
    </w:lvl>
    <w:lvl w:ilvl="7" w:tplc="580E6A32">
      <w:start w:val="1"/>
      <w:numFmt w:val="decimal"/>
      <w:lvlText w:val="%8)"/>
      <w:lvlJc w:val="left"/>
      <w:pPr>
        <w:ind w:left="1020" w:hanging="360"/>
      </w:pPr>
    </w:lvl>
    <w:lvl w:ilvl="8" w:tplc="915AC990">
      <w:start w:val="1"/>
      <w:numFmt w:val="decimal"/>
      <w:lvlText w:val="%9)"/>
      <w:lvlJc w:val="left"/>
      <w:pPr>
        <w:ind w:left="1020" w:hanging="360"/>
      </w:pPr>
    </w:lvl>
  </w:abstractNum>
  <w:abstractNum w:abstractNumId="4" w15:restartNumberingAfterBreak="0">
    <w:nsid w:val="3C3503B6"/>
    <w:multiLevelType w:val="hybridMultilevel"/>
    <w:tmpl w:val="38BCE9C2"/>
    <w:lvl w:ilvl="0" w:tplc="5CF21CC6">
      <w:start w:val="1"/>
      <w:numFmt w:val="decimal"/>
      <w:lvlText w:val="(%1)"/>
      <w:lvlJc w:val="left"/>
      <w:pPr>
        <w:ind w:left="1980" w:hanging="360"/>
      </w:pPr>
      <w:rPr>
        <w:rFonts w:hint="default"/>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551531180">
    <w:abstractNumId w:val="4"/>
  </w:num>
  <w:num w:numId="2" w16cid:durableId="891961381">
    <w:abstractNumId w:val="1"/>
  </w:num>
  <w:num w:numId="3" w16cid:durableId="544365418">
    <w:abstractNumId w:val="3"/>
  </w:num>
  <w:num w:numId="4" w16cid:durableId="1304769845">
    <w:abstractNumId w:val="0"/>
  </w:num>
  <w:num w:numId="5" w16cid:durableId="19279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1"/>
    <w:rsid w:val="00014A94"/>
    <w:rsid w:val="00027C70"/>
    <w:rsid w:val="00034A18"/>
    <w:rsid w:val="00051DC5"/>
    <w:rsid w:val="000700A5"/>
    <w:rsid w:val="00070F67"/>
    <w:rsid w:val="0008565C"/>
    <w:rsid w:val="00095D3B"/>
    <w:rsid w:val="000B6307"/>
    <w:rsid w:val="000E6259"/>
    <w:rsid w:val="000E7ED9"/>
    <w:rsid w:val="001059C6"/>
    <w:rsid w:val="00140DE7"/>
    <w:rsid w:val="001426DA"/>
    <w:rsid w:val="00166557"/>
    <w:rsid w:val="00172007"/>
    <w:rsid w:val="001867D7"/>
    <w:rsid w:val="001912C4"/>
    <w:rsid w:val="00193678"/>
    <w:rsid w:val="001A53B2"/>
    <w:rsid w:val="001B5E69"/>
    <w:rsid w:val="001C4053"/>
    <w:rsid w:val="001D18C0"/>
    <w:rsid w:val="001E7912"/>
    <w:rsid w:val="001F2513"/>
    <w:rsid w:val="001F7D63"/>
    <w:rsid w:val="00212E60"/>
    <w:rsid w:val="0022190A"/>
    <w:rsid w:val="00222009"/>
    <w:rsid w:val="00266BF9"/>
    <w:rsid w:val="002851CF"/>
    <w:rsid w:val="00285D41"/>
    <w:rsid w:val="002A4A07"/>
    <w:rsid w:val="002C3A3F"/>
    <w:rsid w:val="002D1055"/>
    <w:rsid w:val="002D15BC"/>
    <w:rsid w:val="002D7B0C"/>
    <w:rsid w:val="002E5061"/>
    <w:rsid w:val="00303014"/>
    <w:rsid w:val="00306C5F"/>
    <w:rsid w:val="00351ADF"/>
    <w:rsid w:val="0035255D"/>
    <w:rsid w:val="0035770D"/>
    <w:rsid w:val="00357E37"/>
    <w:rsid w:val="0038151E"/>
    <w:rsid w:val="003949E3"/>
    <w:rsid w:val="003A6D49"/>
    <w:rsid w:val="003B703A"/>
    <w:rsid w:val="003C1576"/>
    <w:rsid w:val="003C185E"/>
    <w:rsid w:val="003E0003"/>
    <w:rsid w:val="003E440E"/>
    <w:rsid w:val="00410102"/>
    <w:rsid w:val="00415E13"/>
    <w:rsid w:val="00416D23"/>
    <w:rsid w:val="00456EBB"/>
    <w:rsid w:val="00463080"/>
    <w:rsid w:val="00496CF3"/>
    <w:rsid w:val="004B0476"/>
    <w:rsid w:val="004E1B30"/>
    <w:rsid w:val="004E66BD"/>
    <w:rsid w:val="00500EF1"/>
    <w:rsid w:val="0052238A"/>
    <w:rsid w:val="005361E7"/>
    <w:rsid w:val="00553E32"/>
    <w:rsid w:val="00555FE3"/>
    <w:rsid w:val="005671DC"/>
    <w:rsid w:val="005B13B0"/>
    <w:rsid w:val="005B7053"/>
    <w:rsid w:val="005D01A9"/>
    <w:rsid w:val="00610E80"/>
    <w:rsid w:val="006428CC"/>
    <w:rsid w:val="00674EBC"/>
    <w:rsid w:val="006766B9"/>
    <w:rsid w:val="00686AE5"/>
    <w:rsid w:val="0069122F"/>
    <w:rsid w:val="006A73D2"/>
    <w:rsid w:val="006C53FC"/>
    <w:rsid w:val="006D4EB6"/>
    <w:rsid w:val="006F2CE5"/>
    <w:rsid w:val="006F7380"/>
    <w:rsid w:val="00721A16"/>
    <w:rsid w:val="007228DF"/>
    <w:rsid w:val="00725E7D"/>
    <w:rsid w:val="0074447F"/>
    <w:rsid w:val="0075721D"/>
    <w:rsid w:val="00760128"/>
    <w:rsid w:val="00766176"/>
    <w:rsid w:val="00770522"/>
    <w:rsid w:val="007A4739"/>
    <w:rsid w:val="007E08F9"/>
    <w:rsid w:val="007E45B4"/>
    <w:rsid w:val="00806D15"/>
    <w:rsid w:val="00814AA2"/>
    <w:rsid w:val="00840F2E"/>
    <w:rsid w:val="00856059"/>
    <w:rsid w:val="008A6782"/>
    <w:rsid w:val="008D1C9A"/>
    <w:rsid w:val="008D6E66"/>
    <w:rsid w:val="008E1EBD"/>
    <w:rsid w:val="008F0CAD"/>
    <w:rsid w:val="008F78AC"/>
    <w:rsid w:val="008F7B1A"/>
    <w:rsid w:val="00927E18"/>
    <w:rsid w:val="00962BC4"/>
    <w:rsid w:val="00990E8E"/>
    <w:rsid w:val="009A0316"/>
    <w:rsid w:val="009A606C"/>
    <w:rsid w:val="009B1A02"/>
    <w:rsid w:val="009C2A44"/>
    <w:rsid w:val="009D6B11"/>
    <w:rsid w:val="00A130CE"/>
    <w:rsid w:val="00A21EA0"/>
    <w:rsid w:val="00A274A5"/>
    <w:rsid w:val="00A44FAF"/>
    <w:rsid w:val="00A56084"/>
    <w:rsid w:val="00AA6641"/>
    <w:rsid w:val="00AA6A5E"/>
    <w:rsid w:val="00AB46B3"/>
    <w:rsid w:val="00AC6FA5"/>
    <w:rsid w:val="00AE3D10"/>
    <w:rsid w:val="00B34A2A"/>
    <w:rsid w:val="00B37F0E"/>
    <w:rsid w:val="00B40D53"/>
    <w:rsid w:val="00B44152"/>
    <w:rsid w:val="00B52EF2"/>
    <w:rsid w:val="00B662D6"/>
    <w:rsid w:val="00B74142"/>
    <w:rsid w:val="00B868B4"/>
    <w:rsid w:val="00C00A65"/>
    <w:rsid w:val="00C5730C"/>
    <w:rsid w:val="00CA404B"/>
    <w:rsid w:val="00CA409A"/>
    <w:rsid w:val="00CA4CFC"/>
    <w:rsid w:val="00CB17C2"/>
    <w:rsid w:val="00CE1629"/>
    <w:rsid w:val="00CE6E27"/>
    <w:rsid w:val="00CF3384"/>
    <w:rsid w:val="00D1551F"/>
    <w:rsid w:val="00D277DA"/>
    <w:rsid w:val="00D4585C"/>
    <w:rsid w:val="00D54095"/>
    <w:rsid w:val="00D54403"/>
    <w:rsid w:val="00D55595"/>
    <w:rsid w:val="00D56581"/>
    <w:rsid w:val="00D62148"/>
    <w:rsid w:val="00D64EBC"/>
    <w:rsid w:val="00D748C1"/>
    <w:rsid w:val="00DA66CA"/>
    <w:rsid w:val="00DB0B32"/>
    <w:rsid w:val="00DC6690"/>
    <w:rsid w:val="00DE5252"/>
    <w:rsid w:val="00DF46B1"/>
    <w:rsid w:val="00E14463"/>
    <w:rsid w:val="00E145B5"/>
    <w:rsid w:val="00E17E93"/>
    <w:rsid w:val="00E45A1C"/>
    <w:rsid w:val="00E539AE"/>
    <w:rsid w:val="00E6501C"/>
    <w:rsid w:val="00E66BBA"/>
    <w:rsid w:val="00E812EE"/>
    <w:rsid w:val="00E90663"/>
    <w:rsid w:val="00EB2C8C"/>
    <w:rsid w:val="00EE0B89"/>
    <w:rsid w:val="00EE1BB4"/>
    <w:rsid w:val="00F10A2D"/>
    <w:rsid w:val="00F27F2E"/>
    <w:rsid w:val="00F81F0F"/>
    <w:rsid w:val="00F90BBE"/>
    <w:rsid w:val="00F93DA7"/>
    <w:rsid w:val="00FA1258"/>
    <w:rsid w:val="00FA3EDE"/>
    <w:rsid w:val="00FC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6E2C"/>
  <w15:chartTrackingRefBased/>
  <w15:docId w15:val="{A4A9A333-2D67-4399-BD9B-513CCDAC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12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DF4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F4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6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6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6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6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6B1"/>
    <w:rPr>
      <w:rFonts w:eastAsiaTheme="majorEastAsia" w:cstheme="majorBidi"/>
      <w:color w:val="272727" w:themeColor="text1" w:themeTint="D8"/>
    </w:rPr>
  </w:style>
  <w:style w:type="paragraph" w:styleId="Title">
    <w:name w:val="Title"/>
    <w:basedOn w:val="Normal"/>
    <w:next w:val="Normal"/>
    <w:link w:val="TitleChar"/>
    <w:uiPriority w:val="10"/>
    <w:qFormat/>
    <w:rsid w:val="00DF46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6B1"/>
    <w:pPr>
      <w:spacing w:before="160"/>
      <w:jc w:val="center"/>
    </w:pPr>
    <w:rPr>
      <w:i/>
      <w:iCs/>
      <w:color w:val="404040" w:themeColor="text1" w:themeTint="BF"/>
    </w:rPr>
  </w:style>
  <w:style w:type="character" w:customStyle="1" w:styleId="QuoteChar">
    <w:name w:val="Quote Char"/>
    <w:basedOn w:val="DefaultParagraphFont"/>
    <w:link w:val="Quote"/>
    <w:uiPriority w:val="29"/>
    <w:rsid w:val="00DF46B1"/>
    <w:rPr>
      <w:i/>
      <w:iCs/>
      <w:color w:val="404040" w:themeColor="text1" w:themeTint="BF"/>
    </w:rPr>
  </w:style>
  <w:style w:type="paragraph" w:styleId="ListParagraph">
    <w:name w:val="List Paragraph"/>
    <w:basedOn w:val="Normal"/>
    <w:uiPriority w:val="34"/>
    <w:qFormat/>
    <w:rsid w:val="00DF46B1"/>
    <w:pPr>
      <w:ind w:left="720"/>
      <w:contextualSpacing/>
    </w:pPr>
  </w:style>
  <w:style w:type="character" w:styleId="IntenseEmphasis">
    <w:name w:val="Intense Emphasis"/>
    <w:basedOn w:val="DefaultParagraphFont"/>
    <w:uiPriority w:val="21"/>
    <w:qFormat/>
    <w:rsid w:val="00DF46B1"/>
    <w:rPr>
      <w:i/>
      <w:iCs/>
      <w:color w:val="0F4761" w:themeColor="accent1" w:themeShade="BF"/>
    </w:rPr>
  </w:style>
  <w:style w:type="paragraph" w:styleId="IntenseQuote">
    <w:name w:val="Intense Quote"/>
    <w:basedOn w:val="Normal"/>
    <w:next w:val="Normal"/>
    <w:link w:val="IntenseQuoteChar"/>
    <w:uiPriority w:val="30"/>
    <w:qFormat/>
    <w:rsid w:val="00DF4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6B1"/>
    <w:rPr>
      <w:i/>
      <w:iCs/>
      <w:color w:val="0F4761" w:themeColor="accent1" w:themeShade="BF"/>
    </w:rPr>
  </w:style>
  <w:style w:type="character" w:styleId="IntenseReference">
    <w:name w:val="Intense Reference"/>
    <w:basedOn w:val="DefaultParagraphFont"/>
    <w:uiPriority w:val="32"/>
    <w:qFormat/>
    <w:rsid w:val="00DF46B1"/>
    <w:rPr>
      <w:b/>
      <w:bCs/>
      <w:smallCaps/>
      <w:color w:val="0F4761" w:themeColor="accent1" w:themeShade="BF"/>
      <w:spacing w:val="5"/>
    </w:rPr>
  </w:style>
  <w:style w:type="character" w:styleId="FootnoteReference">
    <w:name w:val="footnote reference"/>
    <w:rsid w:val="00DF46B1"/>
    <w:rPr>
      <w:rFonts w:cs="Times New Roman"/>
      <w:vertAlign w:val="superscript"/>
    </w:rPr>
  </w:style>
  <w:style w:type="paragraph" w:styleId="BodyText">
    <w:name w:val="Body Text"/>
    <w:basedOn w:val="Normal"/>
    <w:link w:val="BodyTextChar"/>
    <w:rsid w:val="00DF46B1"/>
    <w:pPr>
      <w:spacing w:line="360" w:lineRule="atLeast"/>
      <w:jc w:val="both"/>
    </w:pPr>
    <w:rPr>
      <w:sz w:val="24"/>
      <w:szCs w:val="24"/>
    </w:rPr>
  </w:style>
  <w:style w:type="character" w:customStyle="1" w:styleId="BodyTextChar">
    <w:name w:val="Body Text Char"/>
    <w:basedOn w:val="DefaultParagraphFont"/>
    <w:link w:val="BodyText"/>
    <w:rsid w:val="00DF46B1"/>
    <w:rPr>
      <w:rFonts w:ascii="Times New Roman" w:eastAsia="Times New Roman" w:hAnsi="Times New Roman" w:cs="Times New Roman"/>
      <w:kern w:val="0"/>
      <w14:ligatures w14:val="none"/>
    </w:rPr>
  </w:style>
  <w:style w:type="paragraph" w:styleId="BlockText">
    <w:name w:val="Block Text"/>
    <w:basedOn w:val="Normal"/>
    <w:rsid w:val="00DF46B1"/>
    <w:pPr>
      <w:ind w:left="1440" w:right="1440"/>
      <w:jc w:val="both"/>
    </w:pPr>
    <w:rPr>
      <w:sz w:val="24"/>
      <w:szCs w:val="24"/>
    </w:rPr>
  </w:style>
  <w:style w:type="paragraph" w:styleId="Header">
    <w:name w:val="header"/>
    <w:basedOn w:val="Normal"/>
    <w:link w:val="HeaderChar"/>
    <w:rsid w:val="00DF46B1"/>
    <w:pPr>
      <w:tabs>
        <w:tab w:val="center" w:pos="4320"/>
        <w:tab w:val="right" w:pos="8640"/>
      </w:tabs>
    </w:pPr>
  </w:style>
  <w:style w:type="character" w:customStyle="1" w:styleId="HeaderChar">
    <w:name w:val="Header Char"/>
    <w:basedOn w:val="DefaultParagraphFont"/>
    <w:link w:val="Header"/>
    <w:rsid w:val="00DF46B1"/>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DF46B1"/>
    <w:pPr>
      <w:tabs>
        <w:tab w:val="center" w:pos="4320"/>
        <w:tab w:val="right" w:pos="8640"/>
      </w:tabs>
    </w:pPr>
  </w:style>
  <w:style w:type="character" w:customStyle="1" w:styleId="FooterChar">
    <w:name w:val="Footer Char"/>
    <w:basedOn w:val="DefaultParagraphFont"/>
    <w:link w:val="Footer"/>
    <w:rsid w:val="00DF46B1"/>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rsid w:val="00DF46B1"/>
  </w:style>
  <w:style w:type="character" w:customStyle="1" w:styleId="FootnoteTextChar">
    <w:name w:val="Footnote Text Char"/>
    <w:basedOn w:val="DefaultParagraphFont"/>
    <w:link w:val="FootnoteText"/>
    <w:rsid w:val="00DF46B1"/>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E17E93"/>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E17E93"/>
    <w:rPr>
      <w:sz w:val="16"/>
      <w:szCs w:val="16"/>
    </w:rPr>
  </w:style>
  <w:style w:type="paragraph" w:styleId="CommentText">
    <w:name w:val="annotation text"/>
    <w:basedOn w:val="Normal"/>
    <w:link w:val="CommentTextChar"/>
    <w:uiPriority w:val="99"/>
    <w:unhideWhenUsed/>
    <w:rsid w:val="00E17E93"/>
  </w:style>
  <w:style w:type="character" w:customStyle="1" w:styleId="CommentTextChar">
    <w:name w:val="Comment Text Char"/>
    <w:basedOn w:val="DefaultParagraphFont"/>
    <w:link w:val="CommentText"/>
    <w:uiPriority w:val="99"/>
    <w:rsid w:val="00E17E9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17E93"/>
    <w:rPr>
      <w:b/>
      <w:bCs/>
    </w:rPr>
  </w:style>
  <w:style w:type="character" w:customStyle="1" w:styleId="CommentSubjectChar">
    <w:name w:val="Comment Subject Char"/>
    <w:basedOn w:val="CommentTextChar"/>
    <w:link w:val="CommentSubject"/>
    <w:uiPriority w:val="99"/>
    <w:semiHidden/>
    <w:rsid w:val="00E17E93"/>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CF3384"/>
    <w:rPr>
      <w:color w:val="467886" w:themeColor="hyperlink"/>
      <w:u w:val="single"/>
    </w:rPr>
  </w:style>
  <w:style w:type="character" w:styleId="UnresolvedMention">
    <w:name w:val="Unresolved Mention"/>
    <w:basedOn w:val="DefaultParagraphFont"/>
    <w:uiPriority w:val="99"/>
    <w:semiHidden/>
    <w:unhideWhenUsed/>
    <w:rsid w:val="00CF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35764">
      <w:bodyDiv w:val="1"/>
      <w:marLeft w:val="0"/>
      <w:marRight w:val="0"/>
      <w:marTop w:val="0"/>
      <w:marBottom w:val="0"/>
      <w:divBdr>
        <w:top w:val="none" w:sz="0" w:space="0" w:color="auto"/>
        <w:left w:val="none" w:sz="0" w:space="0" w:color="auto"/>
        <w:bottom w:val="none" w:sz="0" w:space="0" w:color="auto"/>
        <w:right w:val="none" w:sz="0" w:space="0" w:color="auto"/>
      </w:divBdr>
      <w:divsChild>
        <w:div w:id="897714052">
          <w:marLeft w:val="480"/>
          <w:marRight w:val="0"/>
          <w:marTop w:val="0"/>
          <w:marBottom w:val="0"/>
          <w:divBdr>
            <w:top w:val="none" w:sz="0" w:space="0" w:color="auto"/>
            <w:left w:val="none" w:sz="0" w:space="0" w:color="auto"/>
            <w:bottom w:val="none" w:sz="0" w:space="0" w:color="auto"/>
            <w:right w:val="none" w:sz="0" w:space="0" w:color="auto"/>
          </w:divBdr>
        </w:div>
        <w:div w:id="1485857110">
          <w:marLeft w:val="480"/>
          <w:marRight w:val="0"/>
          <w:marTop w:val="0"/>
          <w:marBottom w:val="0"/>
          <w:divBdr>
            <w:top w:val="none" w:sz="0" w:space="0" w:color="auto"/>
            <w:left w:val="none" w:sz="0" w:space="0" w:color="auto"/>
            <w:bottom w:val="none" w:sz="0" w:space="0" w:color="auto"/>
            <w:right w:val="none" w:sz="0" w:space="0" w:color="auto"/>
          </w:divBdr>
        </w:div>
      </w:divsChild>
    </w:div>
    <w:div w:id="1318723224">
      <w:bodyDiv w:val="1"/>
      <w:marLeft w:val="0"/>
      <w:marRight w:val="0"/>
      <w:marTop w:val="0"/>
      <w:marBottom w:val="0"/>
      <w:divBdr>
        <w:top w:val="none" w:sz="0" w:space="0" w:color="auto"/>
        <w:left w:val="none" w:sz="0" w:space="0" w:color="auto"/>
        <w:bottom w:val="none" w:sz="0" w:space="0" w:color="auto"/>
        <w:right w:val="none" w:sz="0" w:space="0" w:color="auto"/>
      </w:divBdr>
      <w:divsChild>
        <w:div w:id="1970086231">
          <w:marLeft w:val="480"/>
          <w:marRight w:val="0"/>
          <w:marTop w:val="0"/>
          <w:marBottom w:val="0"/>
          <w:divBdr>
            <w:top w:val="none" w:sz="0" w:space="0" w:color="auto"/>
            <w:left w:val="none" w:sz="0" w:space="0" w:color="auto"/>
            <w:bottom w:val="none" w:sz="0" w:space="0" w:color="auto"/>
            <w:right w:val="none" w:sz="0" w:space="0" w:color="auto"/>
          </w:divBdr>
        </w:div>
        <w:div w:id="179780481">
          <w:marLeft w:val="480"/>
          <w:marRight w:val="0"/>
          <w:marTop w:val="0"/>
          <w:marBottom w:val="0"/>
          <w:divBdr>
            <w:top w:val="none" w:sz="0" w:space="0" w:color="auto"/>
            <w:left w:val="none" w:sz="0" w:space="0" w:color="auto"/>
            <w:bottom w:val="none" w:sz="0" w:space="0" w:color="auto"/>
            <w:right w:val="none" w:sz="0" w:space="0" w:color="auto"/>
          </w:divBdr>
        </w:div>
      </w:divsChild>
    </w:div>
    <w:div w:id="1398505298">
      <w:bodyDiv w:val="1"/>
      <w:marLeft w:val="0"/>
      <w:marRight w:val="0"/>
      <w:marTop w:val="0"/>
      <w:marBottom w:val="0"/>
      <w:divBdr>
        <w:top w:val="none" w:sz="0" w:space="0" w:color="auto"/>
        <w:left w:val="none" w:sz="0" w:space="0" w:color="auto"/>
        <w:bottom w:val="none" w:sz="0" w:space="0" w:color="auto"/>
        <w:right w:val="none" w:sz="0" w:space="0" w:color="auto"/>
      </w:divBdr>
      <w:divsChild>
        <w:div w:id="2092190326">
          <w:marLeft w:val="480"/>
          <w:marRight w:val="0"/>
          <w:marTop w:val="0"/>
          <w:marBottom w:val="0"/>
          <w:divBdr>
            <w:top w:val="none" w:sz="0" w:space="0" w:color="auto"/>
            <w:left w:val="none" w:sz="0" w:space="0" w:color="auto"/>
            <w:bottom w:val="none" w:sz="0" w:space="0" w:color="auto"/>
            <w:right w:val="none" w:sz="0" w:space="0" w:color="auto"/>
          </w:divBdr>
        </w:div>
        <w:div w:id="817185392">
          <w:marLeft w:val="480"/>
          <w:marRight w:val="0"/>
          <w:marTop w:val="0"/>
          <w:marBottom w:val="0"/>
          <w:divBdr>
            <w:top w:val="none" w:sz="0" w:space="0" w:color="auto"/>
            <w:left w:val="none" w:sz="0" w:space="0" w:color="auto"/>
            <w:bottom w:val="none" w:sz="0" w:space="0" w:color="auto"/>
            <w:right w:val="none" w:sz="0" w:space="0" w:color="auto"/>
          </w:divBdr>
        </w:div>
      </w:divsChild>
    </w:div>
    <w:div w:id="1702511372">
      <w:bodyDiv w:val="1"/>
      <w:marLeft w:val="0"/>
      <w:marRight w:val="0"/>
      <w:marTop w:val="0"/>
      <w:marBottom w:val="0"/>
      <w:divBdr>
        <w:top w:val="none" w:sz="0" w:space="0" w:color="auto"/>
        <w:left w:val="none" w:sz="0" w:space="0" w:color="auto"/>
        <w:bottom w:val="none" w:sz="0" w:space="0" w:color="auto"/>
        <w:right w:val="none" w:sz="0" w:space="0" w:color="auto"/>
      </w:divBdr>
    </w:div>
    <w:div w:id="1828479185">
      <w:bodyDiv w:val="1"/>
      <w:marLeft w:val="0"/>
      <w:marRight w:val="0"/>
      <w:marTop w:val="0"/>
      <w:marBottom w:val="0"/>
      <w:divBdr>
        <w:top w:val="none" w:sz="0" w:space="0" w:color="auto"/>
        <w:left w:val="none" w:sz="0" w:space="0" w:color="auto"/>
        <w:bottom w:val="none" w:sz="0" w:space="0" w:color="auto"/>
        <w:right w:val="none" w:sz="0" w:space="0" w:color="auto"/>
      </w:divBdr>
      <w:divsChild>
        <w:div w:id="1260530691">
          <w:marLeft w:val="480"/>
          <w:marRight w:val="0"/>
          <w:marTop w:val="0"/>
          <w:marBottom w:val="0"/>
          <w:divBdr>
            <w:top w:val="none" w:sz="0" w:space="0" w:color="auto"/>
            <w:left w:val="none" w:sz="0" w:space="0" w:color="auto"/>
            <w:bottom w:val="none" w:sz="0" w:space="0" w:color="auto"/>
            <w:right w:val="none" w:sz="0" w:space="0" w:color="auto"/>
          </w:divBdr>
        </w:div>
        <w:div w:id="8290159">
          <w:marLeft w:val="480"/>
          <w:marRight w:val="0"/>
          <w:marTop w:val="0"/>
          <w:marBottom w:val="0"/>
          <w:divBdr>
            <w:top w:val="none" w:sz="0" w:space="0" w:color="auto"/>
            <w:left w:val="none" w:sz="0" w:space="0" w:color="auto"/>
            <w:bottom w:val="none" w:sz="0" w:space="0" w:color="auto"/>
            <w:right w:val="none" w:sz="0" w:space="0" w:color="auto"/>
          </w:divBdr>
        </w:div>
      </w:divsChild>
    </w:div>
    <w:div w:id="21128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FBCA-0789-4260-9246-AC68DCDB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589</Words>
  <Characters>3362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NJ Department of Law &amp; Public Safety</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Counts</dc:creator>
  <cp:keywords/>
  <dc:description/>
  <cp:lastModifiedBy>Jamey Robinson</cp:lastModifiedBy>
  <cp:revision>2</cp:revision>
  <cp:lastPrinted>2025-08-23T01:36:00Z</cp:lastPrinted>
  <dcterms:created xsi:type="dcterms:W3CDTF">2025-09-10T19:43:00Z</dcterms:created>
  <dcterms:modified xsi:type="dcterms:W3CDTF">2025-09-10T19:43:00Z</dcterms:modified>
</cp:coreProperties>
</file>