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7597" w14:textId="54806E2E" w:rsidR="00127712" w:rsidRPr="009415A4" w:rsidRDefault="00B050A8" w:rsidP="00127712">
      <w:pPr>
        <w:jc w:val="center"/>
        <w:rPr>
          <w:rFonts w:ascii="Times New Roman" w:hAnsi="Times New Roman"/>
          <w:b/>
          <w:bCs/>
          <w:u w:val="single"/>
        </w:rPr>
      </w:pPr>
      <w:r w:rsidRPr="009415A4">
        <w:rPr>
          <w:rFonts w:ascii="Times New Roman" w:hAnsi="Times New Roman"/>
          <w:b/>
          <w:bCs/>
          <w:u w:val="single"/>
        </w:rPr>
        <w:t xml:space="preserve">PERSISTENT OFFENDER </w:t>
      </w:r>
    </w:p>
    <w:p w14:paraId="7C69ED13" w14:textId="6D238EB6" w:rsidR="00F80FBD" w:rsidRPr="009415A4" w:rsidRDefault="00E60648" w:rsidP="00E60648">
      <w:pPr>
        <w:pStyle w:val="Normal0"/>
        <w:keepLines w:val="0"/>
        <w:spacing w:line="360" w:lineRule="auto"/>
        <w:ind w:firstLine="720"/>
        <w:jc w:val="both"/>
      </w:pPr>
      <w:r w:rsidRPr="009415A4">
        <w:rPr>
          <w:rFonts w:ascii="Times New Roman" w:hAnsi="Times New Roman"/>
        </w:rPr>
        <w:t xml:space="preserve">Your service is not complete. There is an additional question for you to consider. </w:t>
      </w:r>
    </w:p>
    <w:p w14:paraId="51A39E10" w14:textId="08549600" w:rsidR="00EA3D01" w:rsidRPr="009415A4" w:rsidRDefault="00EA3D01" w:rsidP="0015402B">
      <w:pPr>
        <w:pStyle w:val="Normal0"/>
        <w:keepLines w:val="0"/>
        <w:spacing w:line="360" w:lineRule="auto"/>
        <w:jc w:val="both"/>
        <w:rPr>
          <w:rFonts w:ascii="Times New Roman" w:hAnsi="Times New Roman"/>
        </w:rPr>
      </w:pPr>
      <w:r w:rsidRPr="009415A4">
        <w:rPr>
          <w:rFonts w:ascii="Times New Roman" w:hAnsi="Times New Roman"/>
        </w:rPr>
        <w:tab/>
      </w:r>
      <w:r w:rsidR="001E4113" w:rsidRPr="009415A4">
        <w:rPr>
          <w:rFonts w:ascii="Times New Roman" w:hAnsi="Times New Roman"/>
        </w:rPr>
        <w:t>It is alleged</w:t>
      </w:r>
      <w:r w:rsidR="00A75B44" w:rsidRPr="009415A4">
        <w:rPr>
          <w:rFonts w:ascii="Times New Roman" w:hAnsi="Times New Roman"/>
        </w:rPr>
        <w:t>,</w:t>
      </w:r>
    </w:p>
    <w:p w14:paraId="7170E3B1" w14:textId="33273860" w:rsidR="00A75B44" w:rsidRPr="009415A4" w:rsidRDefault="00A75B44" w:rsidP="0015402B">
      <w:pPr>
        <w:pStyle w:val="Normal0"/>
        <w:keepLines w:val="0"/>
        <w:spacing w:line="360" w:lineRule="auto"/>
        <w:jc w:val="both"/>
        <w:rPr>
          <w:rFonts w:ascii="Times New Roman" w:hAnsi="Times New Roman"/>
          <w:b/>
          <w:bCs/>
        </w:rPr>
      </w:pPr>
      <w:r w:rsidRPr="009415A4">
        <w:rPr>
          <w:rFonts w:ascii="Times New Roman" w:hAnsi="Times New Roman"/>
        </w:rPr>
        <w:tab/>
      </w:r>
      <w:r w:rsidRPr="009415A4">
        <w:rPr>
          <w:rFonts w:ascii="Times New Roman" w:hAnsi="Times New Roman"/>
        </w:rPr>
        <w:tab/>
      </w:r>
      <w:r w:rsidRPr="009415A4">
        <w:rPr>
          <w:rFonts w:ascii="Times New Roman" w:hAnsi="Times New Roman"/>
          <w:b/>
          <w:bCs/>
        </w:rPr>
        <w:t>(Read Persistent Offender Grand Jury Presentment)</w:t>
      </w:r>
      <w:r w:rsidR="009147A4" w:rsidRPr="009415A4">
        <w:rPr>
          <w:rStyle w:val="FootnoteReference"/>
          <w:rFonts w:ascii="Times New Roman" w:hAnsi="Times New Roman"/>
          <w:b/>
          <w:bCs/>
        </w:rPr>
        <w:footnoteReference w:id="1"/>
      </w:r>
    </w:p>
    <w:p w14:paraId="14181AA7" w14:textId="1EDC3F12" w:rsidR="00A75B44" w:rsidRPr="009415A4" w:rsidRDefault="00A75B44" w:rsidP="0015402B">
      <w:pPr>
        <w:pStyle w:val="Normal0"/>
        <w:keepLines w:val="0"/>
        <w:spacing w:line="360" w:lineRule="auto"/>
        <w:jc w:val="both"/>
        <w:rPr>
          <w:rFonts w:ascii="Times New Roman" w:hAnsi="Times New Roman"/>
        </w:rPr>
      </w:pPr>
      <w:r w:rsidRPr="009415A4">
        <w:rPr>
          <w:rFonts w:ascii="Times New Roman" w:hAnsi="Times New Roman"/>
        </w:rPr>
        <w:tab/>
      </w:r>
      <w:r w:rsidR="00BA560A" w:rsidRPr="009415A4">
        <w:rPr>
          <w:rFonts w:ascii="Times New Roman" w:hAnsi="Times New Roman"/>
        </w:rPr>
        <w:t xml:space="preserve">Your prior verdict should not influence your decision on this question. </w:t>
      </w:r>
      <w:r w:rsidR="001E4113" w:rsidRPr="009415A4">
        <w:rPr>
          <w:rFonts w:ascii="Times New Roman" w:hAnsi="Times New Roman"/>
        </w:rPr>
        <w:t>T</w:t>
      </w:r>
      <w:r w:rsidR="00BA560A" w:rsidRPr="009415A4">
        <w:rPr>
          <w:rFonts w:ascii="Times New Roman" w:hAnsi="Times New Roman"/>
        </w:rPr>
        <w:t xml:space="preserve">he fact that you have found the defendant guilty of (a) crime(s) in the indictment, does not mean that </w:t>
      </w:r>
      <w:r w:rsidR="0062437D" w:rsidRPr="009415A4">
        <w:rPr>
          <w:rFonts w:ascii="Times New Roman" w:hAnsi="Times New Roman"/>
        </w:rPr>
        <w:t>defendant</w:t>
      </w:r>
      <w:r w:rsidR="00BA560A" w:rsidRPr="009415A4">
        <w:rPr>
          <w:rFonts w:ascii="Times New Roman" w:hAnsi="Times New Roman"/>
        </w:rPr>
        <w:t xml:space="preserve"> is a </w:t>
      </w:r>
      <w:r w:rsidR="00A80B8C" w:rsidRPr="009415A4">
        <w:rPr>
          <w:rFonts w:ascii="Times New Roman" w:hAnsi="Times New Roman"/>
        </w:rPr>
        <w:t>P</w:t>
      </w:r>
      <w:r w:rsidR="00BA560A" w:rsidRPr="009415A4">
        <w:rPr>
          <w:rFonts w:ascii="Times New Roman" w:hAnsi="Times New Roman"/>
        </w:rPr>
        <w:t xml:space="preserve">ersistent </w:t>
      </w:r>
      <w:r w:rsidR="00A80B8C" w:rsidRPr="009415A4">
        <w:rPr>
          <w:rFonts w:ascii="Times New Roman" w:hAnsi="Times New Roman"/>
        </w:rPr>
        <w:t>O</w:t>
      </w:r>
      <w:r w:rsidR="00BA560A" w:rsidRPr="009415A4">
        <w:rPr>
          <w:rFonts w:ascii="Times New Roman" w:hAnsi="Times New Roman"/>
        </w:rPr>
        <w:t xml:space="preserve">ffender as our law defines it.  </w:t>
      </w:r>
      <w:r w:rsidR="0092523E" w:rsidRPr="009415A4">
        <w:rPr>
          <w:rFonts w:ascii="Times New Roman" w:hAnsi="Times New Roman"/>
        </w:rPr>
        <w:t>You must consider the evidence presented on this question independent of your prior verdict.</w:t>
      </w:r>
    </w:p>
    <w:p w14:paraId="2E317FEA" w14:textId="2FB6F23F" w:rsidR="00A75B44" w:rsidRPr="009415A4" w:rsidRDefault="00BA560A" w:rsidP="00A75B44">
      <w:pPr>
        <w:pStyle w:val="Normal0"/>
        <w:keepLines w:val="0"/>
        <w:spacing w:line="360" w:lineRule="auto"/>
        <w:ind w:firstLine="720"/>
        <w:jc w:val="both"/>
        <w:rPr>
          <w:rFonts w:ascii="Times New Roman" w:hAnsi="Times New Roman"/>
        </w:rPr>
      </w:pPr>
      <w:r w:rsidRPr="009415A4">
        <w:rPr>
          <w:rFonts w:ascii="Times New Roman" w:hAnsi="Times New Roman"/>
        </w:rPr>
        <w:t>A</w:t>
      </w:r>
      <w:r w:rsidR="00A75B44" w:rsidRPr="009415A4">
        <w:rPr>
          <w:rFonts w:ascii="Times New Roman" w:hAnsi="Times New Roman"/>
        </w:rPr>
        <w:t xml:space="preserve"> “Persistent Offender”</w:t>
      </w:r>
      <w:r w:rsidRPr="009415A4">
        <w:rPr>
          <w:rFonts w:ascii="Times New Roman" w:hAnsi="Times New Roman"/>
        </w:rPr>
        <w:t xml:space="preserve"> </w:t>
      </w:r>
      <w:r w:rsidR="00CA496E" w:rsidRPr="009415A4">
        <w:rPr>
          <w:rFonts w:ascii="Times New Roman" w:hAnsi="Times New Roman"/>
        </w:rPr>
        <w:t>is</w:t>
      </w:r>
      <w:r w:rsidR="00A75B44" w:rsidRPr="009415A4">
        <w:rPr>
          <w:rFonts w:ascii="Times New Roman" w:hAnsi="Times New Roman"/>
        </w:rPr>
        <w:t xml:space="preserve"> defined by a statute</w:t>
      </w:r>
      <w:r w:rsidR="009147A4" w:rsidRPr="009415A4">
        <w:rPr>
          <w:rStyle w:val="FootnoteReference"/>
          <w:rFonts w:ascii="Times New Roman" w:hAnsi="Times New Roman"/>
        </w:rPr>
        <w:footnoteReference w:id="2"/>
      </w:r>
      <w:r w:rsidR="00A75B44" w:rsidRPr="009415A4">
        <w:rPr>
          <w:rFonts w:ascii="Times New Roman" w:hAnsi="Times New Roman"/>
        </w:rPr>
        <w:t xml:space="preserve"> </w:t>
      </w:r>
      <w:r w:rsidR="009147A4" w:rsidRPr="009415A4">
        <w:rPr>
          <w:rFonts w:ascii="Times New Roman" w:hAnsi="Times New Roman"/>
        </w:rPr>
        <w:t>as</w:t>
      </w:r>
      <w:r w:rsidR="00A75B44" w:rsidRPr="009415A4">
        <w:rPr>
          <w:rFonts w:ascii="Times New Roman" w:hAnsi="Times New Roman"/>
        </w:rPr>
        <w:t>,</w:t>
      </w:r>
    </w:p>
    <w:p w14:paraId="25CF945B" w14:textId="6D9B0AB4" w:rsidR="00D56D8B" w:rsidRPr="009415A4" w:rsidRDefault="009147A4" w:rsidP="009147A4">
      <w:pPr>
        <w:pStyle w:val="BodyText"/>
        <w:tabs>
          <w:tab w:val="left" w:pos="2422"/>
        </w:tabs>
        <w:ind w:left="1440" w:right="117"/>
        <w:jc w:val="both"/>
      </w:pPr>
      <w:bookmarkStart w:id="0" w:name="_Hlk172006477"/>
      <w:r w:rsidRPr="009415A4">
        <w:rPr>
          <w:lang w:bidi="ar-SA"/>
        </w:rPr>
        <w:t>[A] person who at the time of the commission of the crime is 21 years of age or over, who has been previously convicted on at least two separate occasions of two crimes, committed at different times, when he was at least 18 years of age, if the latest in time of these crimes or the date of the defendant's last release from confinement, whichever is later, is within 10 years of the date of the crime for which the defendant is being sentenced.</w:t>
      </w:r>
    </w:p>
    <w:p w14:paraId="0D0C22F6" w14:textId="77777777" w:rsidR="00F61804" w:rsidRPr="009415A4" w:rsidRDefault="00F61804" w:rsidP="00F61804">
      <w:pPr>
        <w:pStyle w:val="BodyText"/>
        <w:tabs>
          <w:tab w:val="left" w:pos="2422"/>
        </w:tabs>
        <w:ind w:left="1440" w:right="117" w:firstLine="719"/>
        <w:jc w:val="both"/>
      </w:pPr>
    </w:p>
    <w:bookmarkEnd w:id="0"/>
    <w:p w14:paraId="2C0D8E0D" w14:textId="67D446D8" w:rsidR="002A3E90" w:rsidRPr="009415A4" w:rsidRDefault="00A80B8C" w:rsidP="009147A4">
      <w:pPr>
        <w:pStyle w:val="BodyText"/>
        <w:spacing w:line="360" w:lineRule="auto"/>
        <w:ind w:left="100" w:right="117" w:firstLine="779"/>
        <w:jc w:val="both"/>
      </w:pPr>
      <w:r w:rsidRPr="009415A4">
        <w:t>The use of the term “Persistent Offender” should in no way influence your determination.  It is presumed that the defendant does not qualify as a Persistent Offender</w:t>
      </w:r>
      <w:r w:rsidR="0092523E" w:rsidRPr="009415A4">
        <w:t xml:space="preserve">.  </w:t>
      </w:r>
      <w:proofErr w:type="gramStart"/>
      <w:r w:rsidR="009147A4" w:rsidRPr="009415A4">
        <w:t>In order to</w:t>
      </w:r>
      <w:proofErr w:type="gramEnd"/>
      <w:r w:rsidR="009147A4" w:rsidRPr="009415A4">
        <w:t xml:space="preserve"> establish that the defendant is </w:t>
      </w:r>
      <w:r w:rsidR="001A6712" w:rsidRPr="009415A4">
        <w:t>subject to</w:t>
      </w:r>
      <w:r w:rsidR="009147A4" w:rsidRPr="009415A4">
        <w:t xml:space="preserve"> this statute</w:t>
      </w:r>
      <w:r w:rsidR="00D56D8B" w:rsidRPr="009415A4">
        <w:t xml:space="preserve">, the </w:t>
      </w:r>
      <w:r w:rsidR="002A3E90" w:rsidRPr="009415A4">
        <w:t>State must prove each of the following elements</w:t>
      </w:r>
      <w:r w:rsidR="009147A4" w:rsidRPr="009415A4">
        <w:rPr>
          <w:rStyle w:val="FootnoteReference"/>
        </w:rPr>
        <w:footnoteReference w:id="3"/>
      </w:r>
      <w:r w:rsidR="002A3E90" w:rsidRPr="009415A4">
        <w:t xml:space="preserve"> beyond a reasonable doubt:</w:t>
      </w:r>
    </w:p>
    <w:p w14:paraId="1F0F61AA" w14:textId="2AA8F86F" w:rsidR="002A3E90" w:rsidRPr="009415A4" w:rsidRDefault="002A3E90" w:rsidP="007424E9">
      <w:pPr>
        <w:pStyle w:val="ListParagraph"/>
        <w:widowControl w:val="0"/>
        <w:numPr>
          <w:ilvl w:val="3"/>
          <w:numId w:val="1"/>
        </w:numPr>
        <w:tabs>
          <w:tab w:val="left" w:pos="2260"/>
          <w:tab w:val="left" w:pos="2261"/>
        </w:tabs>
        <w:autoSpaceDE w:val="0"/>
        <w:autoSpaceDN w:val="0"/>
        <w:spacing w:before="2" w:after="240" w:line="240" w:lineRule="auto"/>
        <w:ind w:left="1440" w:right="120"/>
        <w:contextualSpacing w:val="0"/>
        <w:rPr>
          <w:rFonts w:ascii="Times New Roman" w:hAnsi="Times New Roman" w:cs="Times New Roman"/>
        </w:rPr>
      </w:pPr>
      <w:r w:rsidRPr="009415A4">
        <w:rPr>
          <w:rFonts w:ascii="Times New Roman" w:hAnsi="Times New Roman" w:cs="Times New Roman"/>
        </w:rPr>
        <w:t xml:space="preserve">Defendant </w:t>
      </w:r>
      <w:r w:rsidR="00EC41E6" w:rsidRPr="009415A4">
        <w:rPr>
          <w:rFonts w:ascii="Times New Roman" w:hAnsi="Times New Roman" w:cs="Times New Roman"/>
        </w:rPr>
        <w:t>was at least twenty-one years of age or older when he committed the crime</w:t>
      </w:r>
      <w:r w:rsidR="00A413D0" w:rsidRPr="009415A4">
        <w:rPr>
          <w:rFonts w:ascii="Times New Roman" w:hAnsi="Times New Roman" w:cs="Times New Roman"/>
        </w:rPr>
        <w:t xml:space="preserve"> </w:t>
      </w:r>
      <w:r w:rsidR="00EC41E6" w:rsidRPr="009415A4">
        <w:rPr>
          <w:rFonts w:ascii="Times New Roman" w:hAnsi="Times New Roman" w:cs="Times New Roman"/>
        </w:rPr>
        <w:t>of</w:t>
      </w:r>
      <w:r w:rsidR="00D47347" w:rsidRPr="009415A4">
        <w:rPr>
          <w:rFonts w:ascii="Times New Roman" w:hAnsi="Times New Roman" w:cs="Times New Roman"/>
        </w:rPr>
        <w:t xml:space="preserve"> </w:t>
      </w:r>
      <w:r w:rsidR="009147A4" w:rsidRPr="009415A4">
        <w:rPr>
          <w:rFonts w:ascii="Times New Roman" w:hAnsi="Times New Roman" w:cs="Times New Roman"/>
          <w:b/>
          <w:bCs/>
        </w:rPr>
        <w:t>[</w:t>
      </w:r>
      <w:r w:rsidR="00A80B8C" w:rsidRPr="009415A4">
        <w:rPr>
          <w:rFonts w:ascii="Times New Roman" w:hAnsi="Times New Roman" w:cs="Times New Roman"/>
          <w:b/>
          <w:bCs/>
        </w:rPr>
        <w:t>crime of conviction for which the State is seeking an extended term</w:t>
      </w:r>
      <w:proofErr w:type="gramStart"/>
      <w:r w:rsidR="009147A4" w:rsidRPr="009415A4">
        <w:rPr>
          <w:rFonts w:ascii="Times New Roman" w:hAnsi="Times New Roman" w:cs="Times New Roman"/>
          <w:b/>
          <w:bCs/>
        </w:rPr>
        <w:t>]</w:t>
      </w:r>
      <w:r w:rsidR="00EC41E6" w:rsidRPr="009415A4">
        <w:rPr>
          <w:rFonts w:ascii="Times New Roman" w:hAnsi="Times New Roman" w:cs="Times New Roman"/>
        </w:rPr>
        <w:t>;</w:t>
      </w:r>
      <w:proofErr w:type="gramEnd"/>
      <w:r w:rsidR="00EC41E6" w:rsidRPr="009415A4">
        <w:rPr>
          <w:rFonts w:ascii="Times New Roman" w:hAnsi="Times New Roman" w:cs="Times New Roman"/>
        </w:rPr>
        <w:t xml:space="preserve"> </w:t>
      </w:r>
    </w:p>
    <w:p w14:paraId="74F5990D" w14:textId="2581CB63" w:rsidR="00EC41E6" w:rsidRPr="009415A4" w:rsidRDefault="00EC41E6" w:rsidP="007424E9">
      <w:pPr>
        <w:pStyle w:val="ListParagraph"/>
        <w:widowControl w:val="0"/>
        <w:numPr>
          <w:ilvl w:val="3"/>
          <w:numId w:val="1"/>
        </w:numPr>
        <w:tabs>
          <w:tab w:val="left" w:pos="2260"/>
          <w:tab w:val="left" w:pos="2261"/>
        </w:tabs>
        <w:autoSpaceDE w:val="0"/>
        <w:autoSpaceDN w:val="0"/>
        <w:spacing w:before="2" w:after="240" w:line="240" w:lineRule="auto"/>
        <w:ind w:left="1440" w:right="120"/>
        <w:contextualSpacing w:val="0"/>
        <w:rPr>
          <w:rFonts w:ascii="Times New Roman" w:hAnsi="Times New Roman" w:cs="Times New Roman"/>
        </w:rPr>
      </w:pPr>
      <w:r w:rsidRPr="009415A4">
        <w:rPr>
          <w:rFonts w:ascii="Times New Roman" w:hAnsi="Times New Roman" w:cs="Times New Roman"/>
        </w:rPr>
        <w:t xml:space="preserve">Defendant was previously convicted of </w:t>
      </w:r>
      <w:r w:rsidR="00253C9A" w:rsidRPr="009415A4">
        <w:rPr>
          <w:rFonts w:ascii="Times New Roman" w:hAnsi="Times New Roman" w:cs="Times New Roman"/>
        </w:rPr>
        <w:t xml:space="preserve">at least two </w:t>
      </w:r>
      <w:r w:rsidR="00A62D59" w:rsidRPr="009415A4">
        <w:rPr>
          <w:rFonts w:ascii="Times New Roman" w:hAnsi="Times New Roman" w:cs="Times New Roman"/>
        </w:rPr>
        <w:t xml:space="preserve">prior </w:t>
      </w:r>
      <w:proofErr w:type="gramStart"/>
      <w:r w:rsidR="00A62D59" w:rsidRPr="009415A4">
        <w:rPr>
          <w:rFonts w:ascii="Times New Roman" w:hAnsi="Times New Roman" w:cs="Times New Roman"/>
        </w:rPr>
        <w:t>crimes</w:t>
      </w:r>
      <w:r w:rsidR="003E06A5" w:rsidRPr="009415A4">
        <w:rPr>
          <w:rFonts w:ascii="Times New Roman" w:hAnsi="Times New Roman" w:cs="Times New Roman"/>
        </w:rPr>
        <w:t>;</w:t>
      </w:r>
      <w:proofErr w:type="gramEnd"/>
    </w:p>
    <w:p w14:paraId="1F9D0E14" w14:textId="5E52A505" w:rsidR="00F61804" w:rsidRPr="009415A4" w:rsidRDefault="00F61804" w:rsidP="007424E9">
      <w:pPr>
        <w:pStyle w:val="ListParagraph"/>
        <w:widowControl w:val="0"/>
        <w:numPr>
          <w:ilvl w:val="3"/>
          <w:numId w:val="1"/>
        </w:numPr>
        <w:tabs>
          <w:tab w:val="left" w:pos="2260"/>
          <w:tab w:val="left" w:pos="2261"/>
        </w:tabs>
        <w:autoSpaceDE w:val="0"/>
        <w:autoSpaceDN w:val="0"/>
        <w:spacing w:before="2" w:after="240" w:line="240" w:lineRule="auto"/>
        <w:ind w:left="1440" w:right="120"/>
        <w:contextualSpacing w:val="0"/>
        <w:rPr>
          <w:rFonts w:ascii="Times New Roman" w:hAnsi="Times New Roman" w:cs="Times New Roman"/>
        </w:rPr>
      </w:pPr>
      <w:r w:rsidRPr="009415A4">
        <w:rPr>
          <w:rFonts w:ascii="Times New Roman" w:hAnsi="Times New Roman" w:cs="Times New Roman"/>
        </w:rPr>
        <w:t xml:space="preserve">Those convictions occurred </w:t>
      </w:r>
      <w:r w:rsidR="00B56203" w:rsidRPr="009415A4">
        <w:rPr>
          <w:rFonts w:ascii="Times New Roman" w:hAnsi="Times New Roman" w:cs="Times New Roman"/>
        </w:rPr>
        <w:t>on</w:t>
      </w:r>
      <w:r w:rsidRPr="009415A4">
        <w:rPr>
          <w:rFonts w:ascii="Times New Roman" w:hAnsi="Times New Roman" w:cs="Times New Roman"/>
        </w:rPr>
        <w:t xml:space="preserve"> two separate </w:t>
      </w:r>
      <w:proofErr w:type="gramStart"/>
      <w:r w:rsidRPr="009415A4">
        <w:rPr>
          <w:rFonts w:ascii="Times New Roman" w:hAnsi="Times New Roman" w:cs="Times New Roman"/>
        </w:rPr>
        <w:t>occasions;</w:t>
      </w:r>
      <w:proofErr w:type="gramEnd"/>
    </w:p>
    <w:p w14:paraId="205ED2D3" w14:textId="21E4C511" w:rsidR="009A0363" w:rsidRPr="009415A4" w:rsidRDefault="009A0363" w:rsidP="007424E9">
      <w:pPr>
        <w:pStyle w:val="ListParagraph"/>
        <w:widowControl w:val="0"/>
        <w:numPr>
          <w:ilvl w:val="3"/>
          <w:numId w:val="1"/>
        </w:numPr>
        <w:tabs>
          <w:tab w:val="left" w:pos="2260"/>
          <w:tab w:val="left" w:pos="2261"/>
        </w:tabs>
        <w:autoSpaceDE w:val="0"/>
        <w:autoSpaceDN w:val="0"/>
        <w:spacing w:before="2" w:after="240" w:line="240" w:lineRule="auto"/>
        <w:ind w:left="1440" w:right="120"/>
        <w:contextualSpacing w:val="0"/>
        <w:rPr>
          <w:rFonts w:ascii="Times New Roman" w:hAnsi="Times New Roman" w:cs="Times New Roman"/>
        </w:rPr>
      </w:pPr>
      <w:r w:rsidRPr="009415A4">
        <w:rPr>
          <w:rFonts w:ascii="Times New Roman" w:hAnsi="Times New Roman" w:cs="Times New Roman"/>
        </w:rPr>
        <w:t xml:space="preserve">Those prior crimes were committed at different </w:t>
      </w:r>
      <w:proofErr w:type="gramStart"/>
      <w:r w:rsidRPr="009415A4">
        <w:rPr>
          <w:rFonts w:ascii="Times New Roman" w:hAnsi="Times New Roman" w:cs="Times New Roman"/>
        </w:rPr>
        <w:t>times</w:t>
      </w:r>
      <w:r w:rsidR="003E06A5" w:rsidRPr="009415A4">
        <w:rPr>
          <w:rFonts w:ascii="Times New Roman" w:hAnsi="Times New Roman" w:cs="Times New Roman"/>
        </w:rPr>
        <w:t>;</w:t>
      </w:r>
      <w:proofErr w:type="gramEnd"/>
    </w:p>
    <w:p w14:paraId="29429E17" w14:textId="65186686" w:rsidR="00EC41E6" w:rsidRPr="009415A4" w:rsidRDefault="00EC41E6" w:rsidP="007424E9">
      <w:pPr>
        <w:pStyle w:val="ListParagraph"/>
        <w:widowControl w:val="0"/>
        <w:numPr>
          <w:ilvl w:val="3"/>
          <w:numId w:val="1"/>
        </w:numPr>
        <w:tabs>
          <w:tab w:val="left" w:pos="2260"/>
          <w:tab w:val="left" w:pos="2261"/>
        </w:tabs>
        <w:autoSpaceDE w:val="0"/>
        <w:autoSpaceDN w:val="0"/>
        <w:spacing w:before="2" w:after="240" w:line="240" w:lineRule="auto"/>
        <w:ind w:left="1440" w:right="120"/>
        <w:contextualSpacing w:val="0"/>
        <w:rPr>
          <w:rFonts w:ascii="Times New Roman" w:hAnsi="Times New Roman" w:cs="Times New Roman"/>
        </w:rPr>
      </w:pPr>
      <w:r w:rsidRPr="009415A4">
        <w:rPr>
          <w:rFonts w:ascii="Times New Roman" w:hAnsi="Times New Roman" w:cs="Times New Roman"/>
        </w:rPr>
        <w:lastRenderedPageBreak/>
        <w:t xml:space="preserve">Defendant was at least 18 years of age when he </w:t>
      </w:r>
      <w:r w:rsidR="00141682" w:rsidRPr="009415A4">
        <w:rPr>
          <w:rFonts w:ascii="Times New Roman" w:hAnsi="Times New Roman" w:cs="Times New Roman"/>
        </w:rPr>
        <w:t>committed</w:t>
      </w:r>
      <w:r w:rsidR="00141682" w:rsidRPr="009415A4">
        <w:rPr>
          <w:rStyle w:val="FootnoteReference"/>
          <w:rFonts w:ascii="Times New Roman" w:hAnsi="Times New Roman" w:cs="Times New Roman"/>
        </w:rPr>
        <w:footnoteReference w:id="4"/>
      </w:r>
      <w:r w:rsidRPr="009415A4">
        <w:rPr>
          <w:rFonts w:ascii="Times New Roman" w:hAnsi="Times New Roman" w:cs="Times New Roman"/>
        </w:rPr>
        <w:t xml:space="preserve"> those prior crimes; and</w:t>
      </w:r>
    </w:p>
    <w:p w14:paraId="2C22818A" w14:textId="69A237A5" w:rsidR="002A3E90" w:rsidRPr="009415A4" w:rsidRDefault="00EC41E6" w:rsidP="00141682">
      <w:pPr>
        <w:pStyle w:val="ListParagraph"/>
        <w:widowControl w:val="0"/>
        <w:numPr>
          <w:ilvl w:val="3"/>
          <w:numId w:val="1"/>
        </w:numPr>
        <w:tabs>
          <w:tab w:val="left" w:pos="2260"/>
          <w:tab w:val="left" w:pos="2261"/>
        </w:tabs>
        <w:autoSpaceDE w:val="0"/>
        <w:autoSpaceDN w:val="0"/>
        <w:spacing w:before="2" w:after="240" w:line="240" w:lineRule="auto"/>
        <w:ind w:left="1440" w:right="120"/>
        <w:contextualSpacing w:val="0"/>
        <w:rPr>
          <w:rFonts w:ascii="Times New Roman" w:hAnsi="Times New Roman" w:cs="Times New Roman"/>
        </w:rPr>
      </w:pPr>
      <w:r w:rsidRPr="009415A4">
        <w:rPr>
          <w:rFonts w:ascii="Times New Roman" w:hAnsi="Times New Roman" w:cs="Times New Roman"/>
        </w:rPr>
        <w:t xml:space="preserve">The </w:t>
      </w:r>
      <w:r w:rsidR="004C7249" w:rsidRPr="009415A4">
        <w:rPr>
          <w:rFonts w:ascii="Times New Roman" w:hAnsi="Times New Roman" w:cs="Times New Roman"/>
        </w:rPr>
        <w:t xml:space="preserve">latest in time of those prior crimes [or the date of his last release from confinement, whichever is later] was within ten years of the </w:t>
      </w:r>
      <w:r w:rsidR="00F44DEB" w:rsidRPr="009415A4">
        <w:rPr>
          <w:rFonts w:ascii="Times New Roman" w:hAnsi="Times New Roman" w:cs="Times New Roman"/>
        </w:rPr>
        <w:t xml:space="preserve">date on which defendant committed the </w:t>
      </w:r>
      <w:r w:rsidR="00A413D0" w:rsidRPr="009415A4">
        <w:rPr>
          <w:rFonts w:ascii="Times New Roman" w:hAnsi="Times New Roman" w:cs="Times New Roman"/>
        </w:rPr>
        <w:t xml:space="preserve">crime of </w:t>
      </w:r>
      <w:r w:rsidR="00141682" w:rsidRPr="009415A4">
        <w:rPr>
          <w:rFonts w:ascii="Times New Roman" w:hAnsi="Times New Roman" w:cs="Times New Roman"/>
          <w:b/>
          <w:bCs/>
        </w:rPr>
        <w:t>[</w:t>
      </w:r>
      <w:r w:rsidR="00A80B8C" w:rsidRPr="009415A4">
        <w:rPr>
          <w:rFonts w:ascii="Times New Roman" w:hAnsi="Times New Roman" w:cs="Times New Roman"/>
          <w:b/>
          <w:bCs/>
        </w:rPr>
        <w:t>crime of conviction for which the State is seeking an extended term</w:t>
      </w:r>
      <w:proofErr w:type="gramStart"/>
      <w:r w:rsidR="00141682" w:rsidRPr="009415A4">
        <w:rPr>
          <w:rFonts w:ascii="Times New Roman" w:hAnsi="Times New Roman" w:cs="Times New Roman"/>
          <w:b/>
          <w:bCs/>
        </w:rPr>
        <w:t>]</w:t>
      </w:r>
      <w:r w:rsidR="00141682" w:rsidRPr="009415A4">
        <w:rPr>
          <w:rFonts w:ascii="Times New Roman" w:hAnsi="Times New Roman" w:cs="Times New Roman"/>
        </w:rPr>
        <w:t>;</w:t>
      </w:r>
      <w:proofErr w:type="gramEnd"/>
      <w:r w:rsidR="00141682" w:rsidRPr="009415A4">
        <w:rPr>
          <w:rFonts w:ascii="Times New Roman" w:hAnsi="Times New Roman" w:cs="Times New Roman"/>
        </w:rPr>
        <w:t xml:space="preserve"> </w:t>
      </w:r>
    </w:p>
    <w:p w14:paraId="66A72F56" w14:textId="556544AD" w:rsidR="00B56203" w:rsidRPr="009415A4" w:rsidRDefault="00B56203" w:rsidP="009147A4">
      <w:pPr>
        <w:pStyle w:val="BodyText"/>
        <w:spacing w:line="360" w:lineRule="auto"/>
        <w:ind w:left="100" w:right="117" w:firstLine="719"/>
        <w:jc w:val="both"/>
      </w:pPr>
      <w:r w:rsidRPr="009415A4">
        <w:t>Normally</w:t>
      </w:r>
      <w:r w:rsidR="001A5547" w:rsidRPr="009415A4">
        <w:t>,</w:t>
      </w:r>
      <w:r w:rsidRPr="009415A4">
        <w:t xml:space="preserve"> evidence of a defendant’s prior crimes is not permitted under our rules of evidence. This is because our rules specifically exclude evidence that a defendant has committed prior crimes when it is offered only to show that he has a disposition</w:t>
      </w:r>
      <w:r w:rsidRPr="009415A4">
        <w:rPr>
          <w:spacing w:val="-8"/>
        </w:rPr>
        <w:t xml:space="preserve"> </w:t>
      </w:r>
      <w:r w:rsidRPr="009415A4">
        <w:t>or</w:t>
      </w:r>
      <w:r w:rsidRPr="009415A4">
        <w:rPr>
          <w:spacing w:val="-9"/>
        </w:rPr>
        <w:t xml:space="preserve"> </w:t>
      </w:r>
      <w:r w:rsidRPr="009415A4">
        <w:t>tendency</w:t>
      </w:r>
      <w:r w:rsidRPr="009415A4">
        <w:rPr>
          <w:spacing w:val="-9"/>
        </w:rPr>
        <w:t xml:space="preserve"> </w:t>
      </w:r>
      <w:r w:rsidRPr="009415A4">
        <w:t>to</w:t>
      </w:r>
      <w:r w:rsidRPr="009415A4">
        <w:rPr>
          <w:spacing w:val="-9"/>
        </w:rPr>
        <w:t xml:space="preserve"> </w:t>
      </w:r>
      <w:r w:rsidRPr="009415A4">
        <w:t>do</w:t>
      </w:r>
      <w:r w:rsidRPr="009415A4">
        <w:rPr>
          <w:spacing w:val="-9"/>
        </w:rPr>
        <w:t xml:space="preserve"> </w:t>
      </w:r>
      <w:r w:rsidRPr="009415A4">
        <w:t>wrong</w:t>
      </w:r>
      <w:r w:rsidRPr="009415A4">
        <w:rPr>
          <w:spacing w:val="-9"/>
        </w:rPr>
        <w:t xml:space="preserve"> </w:t>
      </w:r>
      <w:r w:rsidRPr="009415A4">
        <w:t>and</w:t>
      </w:r>
      <w:r w:rsidRPr="009415A4">
        <w:rPr>
          <w:spacing w:val="-9"/>
        </w:rPr>
        <w:t xml:space="preserve"> </w:t>
      </w:r>
      <w:r w:rsidRPr="009415A4">
        <w:t>therefore</w:t>
      </w:r>
      <w:r w:rsidRPr="009415A4">
        <w:rPr>
          <w:spacing w:val="-6"/>
        </w:rPr>
        <w:t xml:space="preserve"> </w:t>
      </w:r>
      <w:r w:rsidRPr="009415A4">
        <w:t>must</w:t>
      </w:r>
      <w:r w:rsidRPr="009415A4">
        <w:rPr>
          <w:spacing w:val="-8"/>
        </w:rPr>
        <w:t xml:space="preserve"> </w:t>
      </w:r>
      <w:r w:rsidRPr="009415A4">
        <w:t>be</w:t>
      </w:r>
      <w:r w:rsidRPr="009415A4">
        <w:rPr>
          <w:spacing w:val="-10"/>
        </w:rPr>
        <w:t xml:space="preserve"> </w:t>
      </w:r>
      <w:r w:rsidRPr="009415A4">
        <w:t>guilty</w:t>
      </w:r>
      <w:r w:rsidRPr="009415A4">
        <w:rPr>
          <w:spacing w:val="-8"/>
        </w:rPr>
        <w:t xml:space="preserve"> </w:t>
      </w:r>
      <w:r w:rsidRPr="009415A4">
        <w:t>of</w:t>
      </w:r>
      <w:r w:rsidRPr="009415A4">
        <w:rPr>
          <w:spacing w:val="-9"/>
        </w:rPr>
        <w:t xml:space="preserve"> </w:t>
      </w:r>
      <w:r w:rsidRPr="009415A4">
        <w:t>the</w:t>
      </w:r>
      <w:r w:rsidRPr="009415A4">
        <w:rPr>
          <w:spacing w:val="-9"/>
        </w:rPr>
        <w:t xml:space="preserve"> </w:t>
      </w:r>
      <w:r w:rsidRPr="009415A4">
        <w:t>present</w:t>
      </w:r>
      <w:r w:rsidRPr="009415A4">
        <w:rPr>
          <w:spacing w:val="-8"/>
        </w:rPr>
        <w:t xml:space="preserve"> </w:t>
      </w:r>
      <w:r w:rsidRPr="009415A4">
        <w:t>offense.</w:t>
      </w:r>
      <w:r w:rsidRPr="009415A4">
        <w:rPr>
          <w:spacing w:val="47"/>
        </w:rPr>
        <w:t xml:space="preserve"> </w:t>
      </w:r>
      <w:r w:rsidRPr="009415A4">
        <w:t>However, our rules do permit evidence of prior crimes when the evidence is used for some other</w:t>
      </w:r>
      <w:r w:rsidRPr="009415A4">
        <w:rPr>
          <w:spacing w:val="-5"/>
        </w:rPr>
        <w:t xml:space="preserve"> </w:t>
      </w:r>
      <w:r w:rsidRPr="009415A4">
        <w:t>purpose.</w:t>
      </w:r>
    </w:p>
    <w:p w14:paraId="36CFE390" w14:textId="2B94823B" w:rsidR="00B56203" w:rsidRPr="009415A4" w:rsidRDefault="00B56203" w:rsidP="001A5547">
      <w:pPr>
        <w:pStyle w:val="BodyText"/>
        <w:spacing w:line="360" w:lineRule="auto"/>
        <w:ind w:left="100" w:right="115" w:firstLine="719"/>
        <w:jc w:val="both"/>
      </w:pPr>
      <w:r w:rsidRPr="009415A4">
        <w:t xml:space="preserve">In this case, the evidence has been introduced for the specific purpose of establishing </w:t>
      </w:r>
      <w:proofErr w:type="gramStart"/>
      <w:r w:rsidR="00F11910" w:rsidRPr="009415A4">
        <w:t>whether or not</w:t>
      </w:r>
      <w:proofErr w:type="gramEnd"/>
      <w:r w:rsidR="00F11910" w:rsidRPr="009415A4">
        <w:t xml:space="preserve"> the defendant is a persistent offender</w:t>
      </w:r>
      <w:r w:rsidRPr="009415A4">
        <w:t>.</w:t>
      </w:r>
      <w:r w:rsidRPr="009415A4">
        <w:rPr>
          <w:position w:val="9"/>
        </w:rPr>
        <w:t xml:space="preserve"> </w:t>
      </w:r>
      <w:r w:rsidRPr="009415A4">
        <w:t xml:space="preserve">You may not use this evidence to decide that </w:t>
      </w:r>
      <w:r w:rsidR="00141682" w:rsidRPr="009415A4">
        <w:t xml:space="preserve">the </w:t>
      </w:r>
      <w:r w:rsidRPr="009415A4">
        <w:t xml:space="preserve">defendant </w:t>
      </w:r>
      <w:proofErr w:type="gramStart"/>
      <w:r w:rsidRPr="009415A4">
        <w:t>has a tendency</w:t>
      </w:r>
      <w:r w:rsidRPr="009415A4">
        <w:rPr>
          <w:spacing w:val="-14"/>
        </w:rPr>
        <w:t xml:space="preserve"> </w:t>
      </w:r>
      <w:r w:rsidRPr="009415A4">
        <w:t>to</w:t>
      </w:r>
      <w:proofErr w:type="gramEnd"/>
      <w:r w:rsidRPr="009415A4">
        <w:rPr>
          <w:spacing w:val="-13"/>
        </w:rPr>
        <w:t xml:space="preserve"> </w:t>
      </w:r>
      <w:r w:rsidRPr="009415A4">
        <w:t>commit</w:t>
      </w:r>
      <w:r w:rsidRPr="009415A4">
        <w:rPr>
          <w:spacing w:val="-13"/>
        </w:rPr>
        <w:t xml:space="preserve"> </w:t>
      </w:r>
      <w:r w:rsidRPr="009415A4">
        <w:t>crimes</w:t>
      </w:r>
      <w:r w:rsidRPr="009415A4">
        <w:rPr>
          <w:spacing w:val="-13"/>
        </w:rPr>
        <w:t xml:space="preserve"> </w:t>
      </w:r>
      <w:r w:rsidRPr="009415A4">
        <w:t>or</w:t>
      </w:r>
      <w:r w:rsidRPr="009415A4">
        <w:rPr>
          <w:spacing w:val="-14"/>
        </w:rPr>
        <w:t xml:space="preserve"> </w:t>
      </w:r>
      <w:r w:rsidRPr="009415A4">
        <w:t>that</w:t>
      </w:r>
      <w:r w:rsidRPr="009415A4">
        <w:rPr>
          <w:spacing w:val="-12"/>
        </w:rPr>
        <w:t xml:space="preserve"> </w:t>
      </w:r>
      <w:r w:rsidR="00141682" w:rsidRPr="009415A4">
        <w:rPr>
          <w:spacing w:val="-12"/>
        </w:rPr>
        <w:t>(</w:t>
      </w:r>
      <w:r w:rsidRPr="009415A4">
        <w:t>he</w:t>
      </w:r>
      <w:r w:rsidR="00141682" w:rsidRPr="009415A4">
        <w:t xml:space="preserve">/she) </w:t>
      </w:r>
      <w:r w:rsidRPr="009415A4">
        <w:t>is</w:t>
      </w:r>
      <w:r w:rsidRPr="009415A4">
        <w:rPr>
          <w:spacing w:val="-13"/>
        </w:rPr>
        <w:t xml:space="preserve"> </w:t>
      </w:r>
      <w:r w:rsidRPr="009415A4">
        <w:t>a</w:t>
      </w:r>
      <w:r w:rsidRPr="009415A4">
        <w:rPr>
          <w:spacing w:val="-14"/>
        </w:rPr>
        <w:t xml:space="preserve"> </w:t>
      </w:r>
      <w:r w:rsidRPr="009415A4">
        <w:t>bad</w:t>
      </w:r>
      <w:r w:rsidRPr="009415A4">
        <w:rPr>
          <w:spacing w:val="-13"/>
        </w:rPr>
        <w:t xml:space="preserve"> </w:t>
      </w:r>
      <w:r w:rsidRPr="009415A4">
        <w:t xml:space="preserve">person.  In other words, you may not answer </w:t>
      </w:r>
      <w:r w:rsidR="00F11910" w:rsidRPr="009415A4">
        <w:t xml:space="preserve">the question </w:t>
      </w:r>
      <w:r w:rsidRPr="009415A4">
        <w:t xml:space="preserve">affirmatively simply because you </w:t>
      </w:r>
      <w:r w:rsidR="00F11910" w:rsidRPr="009415A4">
        <w:t>learn</w:t>
      </w:r>
      <w:r w:rsidRPr="009415A4">
        <w:t xml:space="preserve"> the defendant may have committed crimes on prior occasions.</w:t>
      </w:r>
      <w:r w:rsidRPr="009415A4">
        <w:rPr>
          <w:spacing w:val="33"/>
        </w:rPr>
        <w:t xml:space="preserve"> </w:t>
      </w:r>
      <w:r w:rsidRPr="009415A4">
        <w:t>The evidence produced by the State concerning prior crimes is only to be</w:t>
      </w:r>
      <w:r w:rsidRPr="009415A4">
        <w:rPr>
          <w:spacing w:val="-8"/>
        </w:rPr>
        <w:t xml:space="preserve"> </w:t>
      </w:r>
      <w:r w:rsidRPr="009415A4">
        <w:t xml:space="preserve">considered in determining whether the State has established beyond a reasonable doubt </w:t>
      </w:r>
      <w:r w:rsidR="00F11910" w:rsidRPr="009415A4">
        <w:t>the</w:t>
      </w:r>
      <w:r w:rsidRPr="009415A4">
        <w:t xml:space="preserve"> specific elements of the question</w:t>
      </w:r>
      <w:r w:rsidR="00F11910" w:rsidRPr="009415A4">
        <w:t xml:space="preserve"> </w:t>
      </w:r>
      <w:r w:rsidRPr="009415A4">
        <w:t>presented</w:t>
      </w:r>
      <w:r w:rsidR="00F11910" w:rsidRPr="009415A4">
        <w:t xml:space="preserve"> to you</w:t>
      </w:r>
      <w:r w:rsidRPr="009415A4">
        <w:t xml:space="preserve">.  </w:t>
      </w:r>
    </w:p>
    <w:p w14:paraId="712E87B8" w14:textId="5133F573" w:rsidR="004C7249" w:rsidRPr="009415A4" w:rsidRDefault="002A3E90" w:rsidP="009147A4">
      <w:pPr>
        <w:pStyle w:val="BodyText"/>
        <w:tabs>
          <w:tab w:val="left" w:pos="7002"/>
        </w:tabs>
        <w:spacing w:line="360" w:lineRule="auto"/>
        <w:ind w:left="100" w:right="114" w:firstLine="719"/>
        <w:jc w:val="both"/>
      </w:pPr>
      <w:r w:rsidRPr="009415A4">
        <w:t xml:space="preserve">The first element the State must prove beyond a reasonable doubt is that defendant </w:t>
      </w:r>
      <w:r w:rsidR="004C7249" w:rsidRPr="009415A4">
        <w:t>was twenty-one years of age or older when he committed the</w:t>
      </w:r>
      <w:r w:rsidR="00141682" w:rsidRPr="009415A4">
        <w:t xml:space="preserve"> crime(s) of </w:t>
      </w:r>
      <w:r w:rsidR="00141682" w:rsidRPr="009415A4">
        <w:rPr>
          <w:b/>
          <w:bCs/>
        </w:rPr>
        <w:t>[</w:t>
      </w:r>
      <w:r w:rsidR="00A80B8C" w:rsidRPr="009415A4">
        <w:rPr>
          <w:b/>
          <w:bCs/>
        </w:rPr>
        <w:t>crime of conviction for which the State is seeking an extended term</w:t>
      </w:r>
      <w:r w:rsidR="00141682" w:rsidRPr="009415A4">
        <w:rPr>
          <w:b/>
          <w:bCs/>
        </w:rPr>
        <w:t>].</w:t>
      </w:r>
    </w:p>
    <w:p w14:paraId="6F4A0E74" w14:textId="5B59D549" w:rsidR="00E22628" w:rsidRPr="009415A4" w:rsidRDefault="004C7249" w:rsidP="009147A4">
      <w:pPr>
        <w:pStyle w:val="BodyText"/>
        <w:tabs>
          <w:tab w:val="left" w:pos="7002"/>
        </w:tabs>
        <w:spacing w:line="360" w:lineRule="auto"/>
        <w:ind w:left="100" w:right="114" w:firstLine="719"/>
        <w:jc w:val="both"/>
      </w:pPr>
      <w:r w:rsidRPr="009415A4">
        <w:t xml:space="preserve">The second element the State must prove beyond a reasonable doubt is that </w:t>
      </w:r>
      <w:proofErr w:type="gramStart"/>
      <w:r w:rsidRPr="009415A4">
        <w:t>defendant</w:t>
      </w:r>
      <w:proofErr w:type="gramEnd"/>
      <w:r w:rsidRPr="009415A4">
        <w:t xml:space="preserve"> </w:t>
      </w:r>
      <w:r w:rsidR="007D7C80" w:rsidRPr="009415A4">
        <w:t>has previously been</w:t>
      </w:r>
      <w:r w:rsidR="007D7C80" w:rsidRPr="009415A4">
        <w:rPr>
          <w:rStyle w:val="FootnoteReference"/>
        </w:rPr>
        <w:footnoteReference w:id="5"/>
      </w:r>
      <w:r w:rsidRPr="009415A4">
        <w:t xml:space="preserve"> convicted </w:t>
      </w:r>
      <w:r w:rsidR="00CE0F4B" w:rsidRPr="009415A4">
        <w:t xml:space="preserve">of </w:t>
      </w:r>
      <w:r w:rsidR="00F77889" w:rsidRPr="009415A4">
        <w:t xml:space="preserve">at least two </w:t>
      </w:r>
      <w:r w:rsidR="00A62D59" w:rsidRPr="009415A4">
        <w:t>prior crimes</w:t>
      </w:r>
      <w:r w:rsidR="00524F6F" w:rsidRPr="009415A4">
        <w:t xml:space="preserve">. </w:t>
      </w:r>
    </w:p>
    <w:p w14:paraId="68EB15CD" w14:textId="58AA048A" w:rsidR="00B10C25" w:rsidRPr="009415A4" w:rsidRDefault="00B306AE" w:rsidP="009147A4">
      <w:pPr>
        <w:pStyle w:val="BodyText"/>
        <w:tabs>
          <w:tab w:val="left" w:pos="7002"/>
        </w:tabs>
        <w:spacing w:line="360" w:lineRule="auto"/>
        <w:ind w:left="100" w:right="114" w:firstLine="719"/>
        <w:jc w:val="both"/>
      </w:pPr>
      <w:r w:rsidRPr="009415A4">
        <w:t xml:space="preserve">A “crime” </w:t>
      </w:r>
      <w:r w:rsidR="002B0538" w:rsidRPr="009415A4">
        <w:t xml:space="preserve">in the State of New Jersey </w:t>
      </w:r>
      <w:r w:rsidRPr="009415A4">
        <w:t>is an offense</w:t>
      </w:r>
      <w:r w:rsidR="002B0538" w:rsidRPr="009415A4">
        <w:t xml:space="preserve"> for which a sentence of imprisonment </w:t>
      </w:r>
      <w:proofErr w:type="gramStart"/>
      <w:r w:rsidR="002B0538" w:rsidRPr="009415A4">
        <w:t>in excess of</w:t>
      </w:r>
      <w:proofErr w:type="gramEnd"/>
      <w:r w:rsidR="002B0538" w:rsidRPr="009415A4">
        <w:t xml:space="preserve"> six months is authorized, even if such a sentence is not imposed.  </w:t>
      </w:r>
      <w:r w:rsidR="00833A01" w:rsidRPr="009415A4">
        <w:t>Crimes are designated as being of the first, second, third or fourth degree.</w:t>
      </w:r>
      <w:r w:rsidR="00833A01" w:rsidRPr="009415A4">
        <w:rPr>
          <w:rStyle w:val="FootnoteReference"/>
        </w:rPr>
        <w:footnoteReference w:id="6"/>
      </w:r>
      <w:r w:rsidR="00833A01" w:rsidRPr="009415A4">
        <w:t xml:space="preserve">  </w:t>
      </w:r>
      <w:r w:rsidR="002B0538" w:rsidRPr="009415A4">
        <w:t xml:space="preserve">If the offense is alleged to have been committed in another State or jurisdiction, a “crime” is an offense for which a sentence of </w:t>
      </w:r>
      <w:r w:rsidR="002B0538" w:rsidRPr="009415A4">
        <w:lastRenderedPageBreak/>
        <w:t xml:space="preserve">imprisonment </w:t>
      </w:r>
      <w:proofErr w:type="gramStart"/>
      <w:r w:rsidR="002B0538" w:rsidRPr="009415A4">
        <w:t>in excess of</w:t>
      </w:r>
      <w:proofErr w:type="gramEnd"/>
      <w:r w:rsidR="002B0538" w:rsidRPr="009415A4">
        <w:t xml:space="preserve"> one year</w:t>
      </w:r>
      <w:r w:rsidR="00414DA3" w:rsidRPr="009415A4">
        <w:rPr>
          <w:rStyle w:val="FootnoteReference"/>
        </w:rPr>
        <w:footnoteReference w:id="7"/>
      </w:r>
      <w:r w:rsidR="002B0538" w:rsidRPr="009415A4">
        <w:t xml:space="preserve"> is authorized, even if such a sentence is not imposed</w:t>
      </w:r>
      <w:r w:rsidR="009A7897" w:rsidRPr="009415A4">
        <w:t>.</w:t>
      </w:r>
    </w:p>
    <w:p w14:paraId="454C7A8E" w14:textId="7011C1CE" w:rsidR="00E22628" w:rsidRPr="009415A4" w:rsidRDefault="00EC13BB" w:rsidP="009147A4">
      <w:pPr>
        <w:pStyle w:val="BodyText"/>
        <w:tabs>
          <w:tab w:val="left" w:pos="7002"/>
        </w:tabs>
        <w:spacing w:line="360" w:lineRule="auto"/>
        <w:ind w:left="100" w:right="114" w:firstLine="719"/>
        <w:jc w:val="both"/>
      </w:pPr>
      <w:r w:rsidRPr="009415A4">
        <w:t>A person has been</w:t>
      </w:r>
      <w:r w:rsidR="002A3E90" w:rsidRPr="009415A4">
        <w:t xml:space="preserve"> “convicted</w:t>
      </w:r>
      <w:r w:rsidRPr="009415A4">
        <w:t xml:space="preserve"> of</w:t>
      </w:r>
      <w:r w:rsidR="009A7897" w:rsidRPr="009415A4">
        <w:t xml:space="preserve">” </w:t>
      </w:r>
      <w:r w:rsidRPr="009415A4">
        <w:t>of a crime if</w:t>
      </w:r>
      <w:r w:rsidR="002A3E90" w:rsidRPr="009415A4">
        <w:t xml:space="preserve"> a judgment of conviction</w:t>
      </w:r>
      <w:r w:rsidR="002A3E90" w:rsidRPr="009415A4">
        <w:rPr>
          <w:position w:val="9"/>
        </w:rPr>
        <w:t xml:space="preserve"> </w:t>
      </w:r>
      <w:r w:rsidRPr="009415A4">
        <w:t xml:space="preserve">has been entered </w:t>
      </w:r>
      <w:r w:rsidR="002A3E90" w:rsidRPr="009415A4">
        <w:t>by a court of competent jurisdiction</w:t>
      </w:r>
      <w:r w:rsidR="002A3E90" w:rsidRPr="009415A4">
        <w:rPr>
          <w:spacing w:val="-11"/>
        </w:rPr>
        <w:t xml:space="preserve"> </w:t>
      </w:r>
      <w:r w:rsidR="002A3E90" w:rsidRPr="009415A4">
        <w:t>in</w:t>
      </w:r>
      <w:r w:rsidR="002A3E90" w:rsidRPr="009415A4">
        <w:rPr>
          <w:spacing w:val="-11"/>
        </w:rPr>
        <w:t xml:space="preserve"> </w:t>
      </w:r>
      <w:r w:rsidR="002A3E90" w:rsidRPr="009415A4">
        <w:t>this</w:t>
      </w:r>
      <w:r w:rsidR="002A3E90" w:rsidRPr="009415A4">
        <w:rPr>
          <w:spacing w:val="-13"/>
        </w:rPr>
        <w:t xml:space="preserve"> </w:t>
      </w:r>
      <w:r w:rsidR="002A3E90" w:rsidRPr="009415A4">
        <w:t>State,</w:t>
      </w:r>
      <w:r w:rsidR="002A3E90" w:rsidRPr="009415A4">
        <w:rPr>
          <w:spacing w:val="-11"/>
        </w:rPr>
        <w:t xml:space="preserve"> </w:t>
      </w:r>
      <w:r w:rsidRPr="009415A4">
        <w:t>another State</w:t>
      </w:r>
      <w:r w:rsidR="002A3E90" w:rsidRPr="009415A4">
        <w:t>,</w:t>
      </w:r>
      <w:r w:rsidR="002A3E90" w:rsidRPr="009415A4">
        <w:rPr>
          <w:spacing w:val="-10"/>
        </w:rPr>
        <w:t xml:space="preserve"> </w:t>
      </w:r>
      <w:r w:rsidR="002A3E90" w:rsidRPr="009415A4">
        <w:t>or</w:t>
      </w:r>
      <w:r w:rsidR="002A3E90" w:rsidRPr="009415A4">
        <w:rPr>
          <w:spacing w:val="-10"/>
        </w:rPr>
        <w:t xml:space="preserve"> </w:t>
      </w:r>
      <w:r w:rsidRPr="009415A4">
        <w:t>any federal district</w:t>
      </w:r>
      <w:r w:rsidR="00C86BC3" w:rsidRPr="009415A4">
        <w:t xml:space="preserve">.  </w:t>
      </w:r>
      <w:r w:rsidR="00524F6F" w:rsidRPr="009415A4">
        <w:t xml:space="preserve">  </w:t>
      </w:r>
    </w:p>
    <w:p w14:paraId="53917FB8" w14:textId="3DA3891E" w:rsidR="007D7C80" w:rsidRPr="009415A4" w:rsidRDefault="007D7C80" w:rsidP="009147A4">
      <w:pPr>
        <w:pStyle w:val="BodyText"/>
        <w:spacing w:line="360" w:lineRule="auto"/>
        <w:ind w:left="100" w:right="117" w:firstLine="719"/>
        <w:jc w:val="both"/>
      </w:pPr>
      <w:r w:rsidRPr="009415A4">
        <w:t xml:space="preserve">The third element the State must prove beyond a reasonable doubt is that at least two prior convictions occurred </w:t>
      </w:r>
      <w:r w:rsidR="00B10C25" w:rsidRPr="009415A4">
        <w:t xml:space="preserve">at </w:t>
      </w:r>
      <w:r w:rsidRPr="009415A4">
        <w:t xml:space="preserve">different times.  This element concerns the dates the judgments </w:t>
      </w:r>
      <w:r w:rsidR="005E483B" w:rsidRPr="009415A4">
        <w:t xml:space="preserve">were </w:t>
      </w:r>
      <w:r w:rsidRPr="009415A4">
        <w:t xml:space="preserve">entered by the court, rather than the dates the offenses were committed. The State must prove beyond a reasonable doubt that at least two of those judgments of convictions were entered at different times.  The convictions must </w:t>
      </w:r>
      <w:r w:rsidR="004E09C1" w:rsidRPr="009415A4">
        <w:t>be</w:t>
      </w:r>
      <w:r w:rsidRPr="009415A4">
        <w:t xml:space="preserve"> the same convictions </w:t>
      </w:r>
      <w:r w:rsidR="004E09C1" w:rsidRPr="009415A4">
        <w:t xml:space="preserve">the State has </w:t>
      </w:r>
      <w:r w:rsidR="000F49BC" w:rsidRPr="009415A4">
        <w:t>offered</w:t>
      </w:r>
      <w:r w:rsidR="004E09C1" w:rsidRPr="009415A4">
        <w:t xml:space="preserve"> to establish</w:t>
      </w:r>
      <w:r w:rsidRPr="009415A4">
        <w:t xml:space="preserve"> the second element.  </w:t>
      </w:r>
    </w:p>
    <w:p w14:paraId="4D8DEFC1" w14:textId="1183ED6A" w:rsidR="00FA7D61" w:rsidRPr="009415A4" w:rsidRDefault="000D7598" w:rsidP="009147A4">
      <w:pPr>
        <w:pStyle w:val="BodyText"/>
        <w:spacing w:line="360" w:lineRule="auto"/>
        <w:ind w:left="100" w:right="117" w:firstLine="719"/>
        <w:jc w:val="both"/>
      </w:pPr>
      <w:r w:rsidRPr="009415A4">
        <w:t xml:space="preserve">The </w:t>
      </w:r>
      <w:r w:rsidR="007D7C80" w:rsidRPr="009415A4">
        <w:t>fourth</w:t>
      </w:r>
      <w:r w:rsidRPr="009415A4">
        <w:t xml:space="preserve"> element the State must prove beyond a reasonable doubt is that those prior crimes were committed at different times.  </w:t>
      </w:r>
      <w:r w:rsidR="00FA7D61" w:rsidRPr="009415A4">
        <w:t xml:space="preserve">This element concerns the dates of the commission of </w:t>
      </w:r>
      <w:r w:rsidR="00EF786C" w:rsidRPr="009415A4">
        <w:t xml:space="preserve">those </w:t>
      </w:r>
      <w:r w:rsidR="00FA7D61" w:rsidRPr="009415A4">
        <w:t xml:space="preserve">crimes, rather than the dates of the convictions. </w:t>
      </w:r>
      <w:r w:rsidR="00782112" w:rsidRPr="009415A4">
        <w:t xml:space="preserve">The State must prove beyond a reasonable doubt that at least two of those crimes were committed at different times.  </w:t>
      </w:r>
      <w:r w:rsidR="000F49BC" w:rsidRPr="009415A4">
        <w:t>T</w:t>
      </w:r>
      <w:r w:rsidR="008501F0" w:rsidRPr="009415A4">
        <w:t xml:space="preserve">he crimes </w:t>
      </w:r>
      <w:r w:rsidR="00A06E17" w:rsidRPr="009415A4">
        <w:t xml:space="preserve">must </w:t>
      </w:r>
      <w:r w:rsidR="004E09C1" w:rsidRPr="009415A4">
        <w:t>be</w:t>
      </w:r>
      <w:r w:rsidR="008501F0" w:rsidRPr="009415A4">
        <w:t xml:space="preserve"> the same </w:t>
      </w:r>
      <w:r w:rsidR="00A06E17" w:rsidRPr="009415A4">
        <w:t>crimes</w:t>
      </w:r>
      <w:r w:rsidR="00E663A7" w:rsidRPr="009415A4">
        <w:t xml:space="preserve"> </w:t>
      </w:r>
      <w:r w:rsidR="000F49BC" w:rsidRPr="009415A4">
        <w:t>the State has offered to establish</w:t>
      </w:r>
      <w:r w:rsidR="008501F0" w:rsidRPr="009415A4">
        <w:t xml:space="preserve"> the second </w:t>
      </w:r>
      <w:r w:rsidR="00B10C25" w:rsidRPr="009415A4">
        <w:t>and third elements</w:t>
      </w:r>
      <w:r w:rsidR="008501F0" w:rsidRPr="009415A4">
        <w:t xml:space="preserve">.  </w:t>
      </w:r>
    </w:p>
    <w:p w14:paraId="2D140D27" w14:textId="77777777" w:rsidR="007D7C80" w:rsidRPr="009415A4" w:rsidRDefault="007D7C80" w:rsidP="009147A4">
      <w:pPr>
        <w:spacing w:before="1" w:line="360" w:lineRule="auto"/>
        <w:ind w:left="82" w:right="347"/>
        <w:jc w:val="center"/>
        <w:rPr>
          <w:rFonts w:ascii="Times New Roman" w:hAnsi="Times New Roman" w:cs="Times New Roman"/>
          <w:b/>
        </w:rPr>
      </w:pPr>
      <w:r w:rsidRPr="009415A4">
        <w:rPr>
          <w:rFonts w:ascii="Times New Roman" w:hAnsi="Times New Roman" w:cs="Times New Roman"/>
          <w:b/>
        </w:rPr>
        <w:t>[Charge if the defendant stipulates to the prior offenses]</w:t>
      </w:r>
    </w:p>
    <w:p w14:paraId="75494F21" w14:textId="1EE70E76" w:rsidR="007D7C80" w:rsidRPr="009415A4" w:rsidRDefault="007D7C80" w:rsidP="009147A4">
      <w:pPr>
        <w:pStyle w:val="BodyText"/>
        <w:tabs>
          <w:tab w:val="left" w:pos="7002"/>
        </w:tabs>
        <w:spacing w:line="360" w:lineRule="auto"/>
        <w:ind w:left="100" w:right="114" w:firstLine="719"/>
        <w:jc w:val="both"/>
      </w:pPr>
      <w:r w:rsidRPr="009415A4">
        <w:t xml:space="preserve">In this matter, the parties have stipulated, or agreed, that </w:t>
      </w:r>
      <w:r w:rsidR="001A5547" w:rsidRPr="009415A4">
        <w:t xml:space="preserve">the </w:t>
      </w:r>
      <w:r w:rsidRPr="009415A4">
        <w:t xml:space="preserve">defendant has previously been convicted of </w:t>
      </w:r>
      <w:r w:rsidR="001A5547" w:rsidRPr="009415A4">
        <w:rPr>
          <w:b/>
          <w:bCs/>
        </w:rPr>
        <w:t>[list crimes the parties have agreed on, including dates of commission and dates of conviction]</w:t>
      </w:r>
      <w:r w:rsidRPr="009415A4">
        <w:t xml:space="preserve">. </w:t>
      </w:r>
      <w:r w:rsidR="00EA63CD" w:rsidRPr="009415A4">
        <w:t>Y</w:t>
      </w:r>
      <w:r w:rsidRPr="009415A4">
        <w:t>ou should treat these facts as being undisputed, that is, the parties agree that these facts are true. As with all evidence, undisputed facts can be accepted or rejected by the jury in reaching a verdict.</w:t>
      </w:r>
    </w:p>
    <w:p w14:paraId="6B6F6F77" w14:textId="0B19C577" w:rsidR="007D7C80" w:rsidRPr="009415A4" w:rsidRDefault="00B10C25" w:rsidP="009147A4">
      <w:pPr>
        <w:pStyle w:val="BodyText"/>
        <w:spacing w:line="360" w:lineRule="auto"/>
        <w:ind w:right="117"/>
        <w:jc w:val="center"/>
        <w:rPr>
          <w:b/>
          <w:bCs/>
        </w:rPr>
      </w:pPr>
      <w:r w:rsidRPr="009415A4">
        <w:t>[</w:t>
      </w:r>
      <w:r w:rsidRPr="009415A4">
        <w:rPr>
          <w:b/>
          <w:bCs/>
        </w:rPr>
        <w:t>CHARGE IN ALL CASES]</w:t>
      </w:r>
    </w:p>
    <w:p w14:paraId="6A88C130" w14:textId="6A06C252" w:rsidR="000D7598" w:rsidRPr="009415A4" w:rsidRDefault="00EF786C" w:rsidP="009147A4">
      <w:pPr>
        <w:widowControl w:val="0"/>
        <w:tabs>
          <w:tab w:val="left" w:pos="720"/>
          <w:tab w:val="left" w:pos="2260"/>
          <w:tab w:val="left" w:pos="2261"/>
        </w:tabs>
        <w:autoSpaceDE w:val="0"/>
        <w:autoSpaceDN w:val="0"/>
        <w:spacing w:before="2" w:after="0" w:line="360" w:lineRule="auto"/>
        <w:ind w:right="115"/>
        <w:jc w:val="both"/>
        <w:rPr>
          <w:rFonts w:ascii="Times New Roman" w:hAnsi="Times New Roman" w:cs="Times New Roman"/>
        </w:rPr>
      </w:pPr>
      <w:r w:rsidRPr="009415A4">
        <w:rPr>
          <w:rFonts w:ascii="Times New Roman" w:hAnsi="Times New Roman" w:cs="Times New Roman"/>
        </w:rPr>
        <w:tab/>
      </w:r>
      <w:r w:rsidR="000D7598" w:rsidRPr="009415A4">
        <w:rPr>
          <w:rFonts w:ascii="Times New Roman" w:hAnsi="Times New Roman" w:cs="Times New Roman"/>
        </w:rPr>
        <w:t xml:space="preserve">The </w:t>
      </w:r>
      <w:r w:rsidR="007D7C80" w:rsidRPr="009415A4">
        <w:rPr>
          <w:rFonts w:ascii="Times New Roman" w:hAnsi="Times New Roman" w:cs="Times New Roman"/>
        </w:rPr>
        <w:t>fifth</w:t>
      </w:r>
      <w:r w:rsidR="000D7598" w:rsidRPr="009415A4">
        <w:rPr>
          <w:rFonts w:ascii="Times New Roman" w:hAnsi="Times New Roman" w:cs="Times New Roman"/>
        </w:rPr>
        <w:t xml:space="preserve"> element the State must prove beyond a reasonable doubt is that defendant was at least 18 years of age when </w:t>
      </w:r>
      <w:r w:rsidR="0062437D" w:rsidRPr="009415A4">
        <w:rPr>
          <w:rFonts w:ascii="Times New Roman" w:hAnsi="Times New Roman" w:cs="Times New Roman"/>
        </w:rPr>
        <w:t>defendant</w:t>
      </w:r>
      <w:r w:rsidR="000D7598" w:rsidRPr="009415A4">
        <w:rPr>
          <w:rFonts w:ascii="Times New Roman" w:hAnsi="Times New Roman" w:cs="Times New Roman"/>
        </w:rPr>
        <w:t xml:space="preserve"> </w:t>
      </w:r>
      <w:r w:rsidR="005E483B" w:rsidRPr="009415A4">
        <w:rPr>
          <w:rFonts w:ascii="Times New Roman" w:hAnsi="Times New Roman" w:cs="Times New Roman"/>
        </w:rPr>
        <w:t>committed</w:t>
      </w:r>
      <w:r w:rsidR="000D7598" w:rsidRPr="009415A4">
        <w:rPr>
          <w:rFonts w:ascii="Times New Roman" w:hAnsi="Times New Roman" w:cs="Times New Roman"/>
        </w:rPr>
        <w:t xml:space="preserve"> each of those prior crimes</w:t>
      </w:r>
      <w:r w:rsidR="00E91833" w:rsidRPr="009415A4">
        <w:rPr>
          <w:rFonts w:ascii="Times New Roman" w:hAnsi="Times New Roman" w:cs="Times New Roman"/>
        </w:rPr>
        <w:t xml:space="preserve">.  </w:t>
      </w:r>
      <w:r w:rsidR="000F49BC" w:rsidRPr="009415A4">
        <w:rPr>
          <w:rFonts w:ascii="Times New Roman" w:hAnsi="Times New Roman" w:cs="Times New Roman"/>
        </w:rPr>
        <w:t>T</w:t>
      </w:r>
      <w:r w:rsidR="006C0EBF" w:rsidRPr="009415A4">
        <w:rPr>
          <w:rFonts w:ascii="Times New Roman" w:hAnsi="Times New Roman" w:cs="Times New Roman"/>
        </w:rPr>
        <w:t xml:space="preserve">he crimes must be </w:t>
      </w:r>
      <w:r w:rsidR="00E91833" w:rsidRPr="009415A4">
        <w:rPr>
          <w:rFonts w:ascii="Times New Roman" w:hAnsi="Times New Roman" w:cs="Times New Roman"/>
        </w:rPr>
        <w:t xml:space="preserve">the same crimes </w:t>
      </w:r>
      <w:r w:rsidR="000F49BC" w:rsidRPr="009415A4">
        <w:rPr>
          <w:rFonts w:ascii="Times New Roman" w:hAnsi="Times New Roman" w:cs="Times New Roman"/>
        </w:rPr>
        <w:t>the State has offered to establish</w:t>
      </w:r>
      <w:r w:rsidR="003A3EF9" w:rsidRPr="009415A4">
        <w:rPr>
          <w:rFonts w:ascii="Times New Roman" w:hAnsi="Times New Roman" w:cs="Times New Roman"/>
        </w:rPr>
        <w:t xml:space="preserve"> </w:t>
      </w:r>
      <w:r w:rsidRPr="009415A4">
        <w:rPr>
          <w:rFonts w:ascii="Times New Roman" w:hAnsi="Times New Roman" w:cs="Times New Roman"/>
        </w:rPr>
        <w:t>the second</w:t>
      </w:r>
      <w:r w:rsidR="007D7C80" w:rsidRPr="009415A4">
        <w:rPr>
          <w:rFonts w:ascii="Times New Roman" w:hAnsi="Times New Roman" w:cs="Times New Roman"/>
        </w:rPr>
        <w:t xml:space="preserve">, </w:t>
      </w:r>
      <w:r w:rsidRPr="009415A4">
        <w:rPr>
          <w:rFonts w:ascii="Times New Roman" w:hAnsi="Times New Roman" w:cs="Times New Roman"/>
        </w:rPr>
        <w:t>third</w:t>
      </w:r>
      <w:r w:rsidR="007D7C80" w:rsidRPr="009415A4">
        <w:rPr>
          <w:rFonts w:ascii="Times New Roman" w:hAnsi="Times New Roman" w:cs="Times New Roman"/>
        </w:rPr>
        <w:t>, and fourth</w:t>
      </w:r>
      <w:r w:rsidRPr="009415A4">
        <w:rPr>
          <w:rFonts w:ascii="Times New Roman" w:hAnsi="Times New Roman" w:cs="Times New Roman"/>
        </w:rPr>
        <w:t xml:space="preserve"> elements</w:t>
      </w:r>
      <w:r w:rsidR="000D7598" w:rsidRPr="009415A4">
        <w:rPr>
          <w:rFonts w:ascii="Times New Roman" w:hAnsi="Times New Roman" w:cs="Times New Roman"/>
        </w:rPr>
        <w:t>.</w:t>
      </w:r>
    </w:p>
    <w:p w14:paraId="1B682F06" w14:textId="79D33D60" w:rsidR="000D7598" w:rsidRPr="009415A4" w:rsidRDefault="000D7598" w:rsidP="009147A4">
      <w:pPr>
        <w:widowControl w:val="0"/>
        <w:tabs>
          <w:tab w:val="left" w:pos="720"/>
          <w:tab w:val="left" w:pos="2260"/>
          <w:tab w:val="left" w:pos="2261"/>
        </w:tabs>
        <w:autoSpaceDE w:val="0"/>
        <w:autoSpaceDN w:val="0"/>
        <w:spacing w:before="2" w:after="0" w:line="360" w:lineRule="auto"/>
        <w:ind w:right="115"/>
        <w:jc w:val="both"/>
        <w:rPr>
          <w:rFonts w:ascii="Times New Roman" w:hAnsi="Times New Roman" w:cs="Times New Roman"/>
        </w:rPr>
      </w:pPr>
      <w:r w:rsidRPr="009415A4">
        <w:rPr>
          <w:rFonts w:ascii="Times New Roman" w:hAnsi="Times New Roman" w:cs="Times New Roman"/>
        </w:rPr>
        <w:tab/>
        <w:t xml:space="preserve">The </w:t>
      </w:r>
      <w:r w:rsidR="007D7C80" w:rsidRPr="009415A4">
        <w:rPr>
          <w:rFonts w:ascii="Times New Roman" w:hAnsi="Times New Roman" w:cs="Times New Roman"/>
        </w:rPr>
        <w:t>sixth</w:t>
      </w:r>
      <w:r w:rsidRPr="009415A4">
        <w:rPr>
          <w:rFonts w:ascii="Times New Roman" w:hAnsi="Times New Roman" w:cs="Times New Roman"/>
        </w:rPr>
        <w:t xml:space="preserve"> element the State must prove beyond a reasonable doubt is that the latest in time of </w:t>
      </w:r>
      <w:r w:rsidR="009C36E5" w:rsidRPr="009415A4">
        <w:rPr>
          <w:rFonts w:ascii="Times New Roman" w:hAnsi="Times New Roman" w:cs="Times New Roman"/>
        </w:rPr>
        <w:t>the commission</w:t>
      </w:r>
      <w:r w:rsidR="000B67BF" w:rsidRPr="009415A4">
        <w:rPr>
          <w:rStyle w:val="FootnoteReference"/>
          <w:rFonts w:ascii="Times New Roman" w:hAnsi="Times New Roman" w:cs="Times New Roman"/>
        </w:rPr>
        <w:footnoteReference w:id="8"/>
      </w:r>
      <w:r w:rsidR="009C36E5" w:rsidRPr="009415A4">
        <w:rPr>
          <w:rFonts w:ascii="Times New Roman" w:hAnsi="Times New Roman" w:cs="Times New Roman"/>
        </w:rPr>
        <w:t xml:space="preserve"> of the </w:t>
      </w:r>
      <w:r w:rsidRPr="009415A4">
        <w:rPr>
          <w:rFonts w:ascii="Times New Roman" w:hAnsi="Times New Roman" w:cs="Times New Roman"/>
        </w:rPr>
        <w:t>prior crimes</w:t>
      </w:r>
      <w:r w:rsidR="00B10C25" w:rsidRPr="009415A4">
        <w:rPr>
          <w:rFonts w:ascii="Times New Roman" w:hAnsi="Times New Roman" w:cs="Times New Roman"/>
        </w:rPr>
        <w:t xml:space="preserve"> </w:t>
      </w:r>
      <w:r w:rsidR="000F49BC" w:rsidRPr="009415A4">
        <w:rPr>
          <w:rFonts w:ascii="Times New Roman" w:hAnsi="Times New Roman" w:cs="Times New Roman"/>
          <w:b/>
          <w:bCs/>
        </w:rPr>
        <w:t>[</w:t>
      </w:r>
      <w:r w:rsidR="00B10C25" w:rsidRPr="009415A4">
        <w:rPr>
          <w:rFonts w:ascii="Times New Roman" w:hAnsi="Times New Roman" w:cs="Times New Roman"/>
          <w:b/>
          <w:bCs/>
          <w:u w:val="single"/>
        </w:rPr>
        <w:t>choose if applicable</w:t>
      </w:r>
      <w:r w:rsidR="00B10C25" w:rsidRPr="009415A4">
        <w:rPr>
          <w:rFonts w:ascii="Times New Roman" w:hAnsi="Times New Roman" w:cs="Times New Roman"/>
        </w:rPr>
        <w:t xml:space="preserve">: </w:t>
      </w:r>
      <w:r w:rsidRPr="009415A4">
        <w:rPr>
          <w:rFonts w:ascii="Times New Roman" w:hAnsi="Times New Roman" w:cs="Times New Roman"/>
        </w:rPr>
        <w:t>or the date of his last release from confinement, whichever is later</w:t>
      </w:r>
      <w:r w:rsidR="000F49BC" w:rsidRPr="009415A4">
        <w:rPr>
          <w:rFonts w:ascii="Times New Roman" w:hAnsi="Times New Roman" w:cs="Times New Roman"/>
          <w:b/>
          <w:bCs/>
        </w:rPr>
        <w:t>]</w:t>
      </w:r>
      <w:r w:rsidRPr="009415A4">
        <w:rPr>
          <w:rFonts w:ascii="Times New Roman" w:hAnsi="Times New Roman" w:cs="Times New Roman"/>
        </w:rPr>
        <w:t xml:space="preserve"> was within ten years of the commission of</w:t>
      </w:r>
      <w:r w:rsidR="00641BE7" w:rsidRPr="009415A4">
        <w:rPr>
          <w:rFonts w:ascii="Times New Roman" w:hAnsi="Times New Roman" w:cs="Times New Roman"/>
        </w:rPr>
        <w:t xml:space="preserve"> </w:t>
      </w:r>
      <w:r w:rsidR="00B10C25" w:rsidRPr="009415A4">
        <w:rPr>
          <w:rFonts w:ascii="Times New Roman" w:hAnsi="Times New Roman" w:cs="Times New Roman"/>
        </w:rPr>
        <w:t>(the counts of conviction in the matter before the court)</w:t>
      </w:r>
      <w:r w:rsidR="00641BE7" w:rsidRPr="009415A4">
        <w:rPr>
          <w:rFonts w:ascii="Times New Roman" w:hAnsi="Times New Roman" w:cs="Times New Roman"/>
        </w:rPr>
        <w:t>.</w:t>
      </w:r>
      <w:r w:rsidR="009C36E5" w:rsidRPr="009415A4">
        <w:rPr>
          <w:rFonts w:ascii="Times New Roman" w:hAnsi="Times New Roman" w:cs="Times New Roman"/>
        </w:rPr>
        <w:t xml:space="preserve">  </w:t>
      </w:r>
    </w:p>
    <w:p w14:paraId="710DE6E4" w14:textId="74848785" w:rsidR="002A3E90" w:rsidRPr="009415A4" w:rsidRDefault="00E22207" w:rsidP="009147A4">
      <w:pPr>
        <w:widowControl w:val="0"/>
        <w:tabs>
          <w:tab w:val="left" w:pos="720"/>
          <w:tab w:val="left" w:pos="2260"/>
          <w:tab w:val="left" w:pos="2261"/>
        </w:tabs>
        <w:autoSpaceDE w:val="0"/>
        <w:autoSpaceDN w:val="0"/>
        <w:spacing w:before="2" w:after="0" w:line="360" w:lineRule="auto"/>
        <w:ind w:right="115"/>
        <w:jc w:val="both"/>
        <w:rPr>
          <w:rFonts w:ascii="Times New Roman" w:hAnsi="Times New Roman" w:cs="Times New Roman"/>
        </w:rPr>
      </w:pPr>
      <w:r w:rsidRPr="009415A4">
        <w:rPr>
          <w:rFonts w:ascii="Times New Roman" w:hAnsi="Times New Roman" w:cs="Times New Roman"/>
        </w:rPr>
        <w:lastRenderedPageBreak/>
        <w:tab/>
      </w:r>
      <w:r w:rsidR="002A3E90" w:rsidRPr="009415A4">
        <w:rPr>
          <w:rFonts w:ascii="Times New Roman" w:hAnsi="Times New Roman" w:cs="Times New Roman"/>
        </w:rPr>
        <w:t xml:space="preserve">If you find that the State has proven beyond a reasonable doubt each of these elements, then you must answer “yes” to the question presented. </w:t>
      </w:r>
      <w:r w:rsidR="00B10C25" w:rsidRPr="009415A4">
        <w:rPr>
          <w:rFonts w:ascii="Times New Roman" w:hAnsi="Times New Roman" w:cs="Times New Roman"/>
        </w:rPr>
        <w:t>I</w:t>
      </w:r>
      <w:r w:rsidR="002A3E90" w:rsidRPr="009415A4">
        <w:rPr>
          <w:rFonts w:ascii="Times New Roman" w:hAnsi="Times New Roman" w:cs="Times New Roman"/>
        </w:rPr>
        <w:t xml:space="preserve">f you find that the State has failed to prove any </w:t>
      </w:r>
      <w:r w:rsidR="00B10C25" w:rsidRPr="009415A4">
        <w:rPr>
          <w:rFonts w:ascii="Times New Roman" w:hAnsi="Times New Roman" w:cs="Times New Roman"/>
        </w:rPr>
        <w:t xml:space="preserve">one </w:t>
      </w:r>
      <w:r w:rsidR="002A3E90" w:rsidRPr="009415A4">
        <w:rPr>
          <w:rFonts w:ascii="Times New Roman" w:hAnsi="Times New Roman" w:cs="Times New Roman"/>
        </w:rPr>
        <w:t>of these elements beyond a reasonable doubt, then you must answer “no” to the question presented.</w:t>
      </w:r>
    </w:p>
    <w:sectPr w:rsidR="002A3E90" w:rsidRPr="009415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B4500" w14:textId="77777777" w:rsidR="00CA30D0" w:rsidRDefault="00CA30D0" w:rsidP="00F47454">
      <w:pPr>
        <w:spacing w:after="0" w:line="240" w:lineRule="auto"/>
      </w:pPr>
      <w:r>
        <w:separator/>
      </w:r>
    </w:p>
  </w:endnote>
  <w:endnote w:type="continuationSeparator" w:id="0">
    <w:p w14:paraId="65B35398" w14:textId="77777777" w:rsidR="00CA30D0" w:rsidRDefault="00CA30D0" w:rsidP="00F4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95891"/>
      <w:docPartObj>
        <w:docPartGallery w:val="Page Numbers (Bottom of Page)"/>
        <w:docPartUnique/>
      </w:docPartObj>
    </w:sdtPr>
    <w:sdtEndPr/>
    <w:sdtContent>
      <w:sdt>
        <w:sdtPr>
          <w:id w:val="1728636285"/>
          <w:docPartObj>
            <w:docPartGallery w:val="Page Numbers (Top of Page)"/>
            <w:docPartUnique/>
          </w:docPartObj>
        </w:sdtPr>
        <w:sdtEndPr/>
        <w:sdtContent>
          <w:p w14:paraId="1435CA5D" w14:textId="673F54EB" w:rsidR="00E432B0" w:rsidRDefault="00E432B0">
            <w:pPr>
              <w:pStyle w:val="Footer"/>
              <w:jc w:val="center"/>
            </w:pPr>
            <w:r w:rsidRPr="00A54320">
              <w:rPr>
                <w:rFonts w:ascii="Times New Roman" w:hAnsi="Times New Roman" w:cs="Times New Roman"/>
                <w:sz w:val="22"/>
                <w:szCs w:val="22"/>
              </w:rPr>
              <w:t xml:space="preserve">Page </w:t>
            </w:r>
            <w:r w:rsidRPr="00A54320">
              <w:rPr>
                <w:rFonts w:ascii="Times New Roman" w:hAnsi="Times New Roman" w:cs="Times New Roman"/>
                <w:b/>
                <w:bCs/>
                <w:sz w:val="22"/>
                <w:szCs w:val="22"/>
              </w:rPr>
              <w:fldChar w:fldCharType="begin"/>
            </w:r>
            <w:r w:rsidRPr="00A54320">
              <w:rPr>
                <w:rFonts w:ascii="Times New Roman" w:hAnsi="Times New Roman" w:cs="Times New Roman"/>
                <w:b/>
                <w:bCs/>
                <w:sz w:val="22"/>
                <w:szCs w:val="22"/>
              </w:rPr>
              <w:instrText xml:space="preserve"> PAGE </w:instrText>
            </w:r>
            <w:r w:rsidRPr="00A54320">
              <w:rPr>
                <w:rFonts w:ascii="Times New Roman" w:hAnsi="Times New Roman" w:cs="Times New Roman"/>
                <w:b/>
                <w:bCs/>
                <w:sz w:val="22"/>
                <w:szCs w:val="22"/>
              </w:rPr>
              <w:fldChar w:fldCharType="separate"/>
            </w:r>
            <w:r w:rsidRPr="00A54320">
              <w:rPr>
                <w:rFonts w:ascii="Times New Roman" w:hAnsi="Times New Roman" w:cs="Times New Roman"/>
                <w:b/>
                <w:bCs/>
                <w:noProof/>
                <w:sz w:val="22"/>
                <w:szCs w:val="22"/>
              </w:rPr>
              <w:t>2</w:t>
            </w:r>
            <w:r w:rsidRPr="00A54320">
              <w:rPr>
                <w:rFonts w:ascii="Times New Roman" w:hAnsi="Times New Roman" w:cs="Times New Roman"/>
                <w:b/>
                <w:bCs/>
                <w:sz w:val="22"/>
                <w:szCs w:val="22"/>
              </w:rPr>
              <w:fldChar w:fldCharType="end"/>
            </w:r>
            <w:r w:rsidRPr="00A54320">
              <w:rPr>
                <w:rFonts w:ascii="Times New Roman" w:hAnsi="Times New Roman" w:cs="Times New Roman"/>
                <w:sz w:val="22"/>
                <w:szCs w:val="22"/>
              </w:rPr>
              <w:t xml:space="preserve"> of </w:t>
            </w:r>
            <w:r w:rsidRPr="00A54320">
              <w:rPr>
                <w:rFonts w:ascii="Times New Roman" w:hAnsi="Times New Roman" w:cs="Times New Roman"/>
                <w:b/>
                <w:bCs/>
                <w:sz w:val="22"/>
                <w:szCs w:val="22"/>
              </w:rPr>
              <w:fldChar w:fldCharType="begin"/>
            </w:r>
            <w:r w:rsidRPr="00A54320">
              <w:rPr>
                <w:rFonts w:ascii="Times New Roman" w:hAnsi="Times New Roman" w:cs="Times New Roman"/>
                <w:b/>
                <w:bCs/>
                <w:sz w:val="22"/>
                <w:szCs w:val="22"/>
              </w:rPr>
              <w:instrText xml:space="preserve"> NUMPAGES  </w:instrText>
            </w:r>
            <w:r w:rsidRPr="00A54320">
              <w:rPr>
                <w:rFonts w:ascii="Times New Roman" w:hAnsi="Times New Roman" w:cs="Times New Roman"/>
                <w:b/>
                <w:bCs/>
                <w:sz w:val="22"/>
                <w:szCs w:val="22"/>
              </w:rPr>
              <w:fldChar w:fldCharType="separate"/>
            </w:r>
            <w:r w:rsidRPr="00A54320">
              <w:rPr>
                <w:rFonts w:ascii="Times New Roman" w:hAnsi="Times New Roman" w:cs="Times New Roman"/>
                <w:b/>
                <w:bCs/>
                <w:noProof/>
                <w:sz w:val="22"/>
                <w:szCs w:val="22"/>
              </w:rPr>
              <w:t>2</w:t>
            </w:r>
            <w:r w:rsidRPr="00A54320">
              <w:rPr>
                <w:rFonts w:ascii="Times New Roman" w:hAnsi="Times New Roman" w:cs="Times New Roman"/>
                <w:b/>
                <w:bCs/>
                <w:sz w:val="22"/>
                <w:szCs w:val="22"/>
              </w:rPr>
              <w:fldChar w:fldCharType="end"/>
            </w:r>
          </w:p>
        </w:sdtContent>
      </w:sdt>
    </w:sdtContent>
  </w:sdt>
  <w:p w14:paraId="201A74F2" w14:textId="77777777" w:rsidR="00F47454" w:rsidRDefault="00F47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22161" w14:textId="77777777" w:rsidR="00CA30D0" w:rsidRDefault="00CA30D0" w:rsidP="00F47454">
      <w:pPr>
        <w:spacing w:after="0" w:line="240" w:lineRule="auto"/>
      </w:pPr>
      <w:r>
        <w:separator/>
      </w:r>
    </w:p>
  </w:footnote>
  <w:footnote w:type="continuationSeparator" w:id="0">
    <w:p w14:paraId="68EB9829" w14:textId="77777777" w:rsidR="00CA30D0" w:rsidRDefault="00CA30D0" w:rsidP="00F47454">
      <w:pPr>
        <w:spacing w:after="0" w:line="240" w:lineRule="auto"/>
      </w:pPr>
      <w:r>
        <w:continuationSeparator/>
      </w:r>
    </w:p>
  </w:footnote>
  <w:footnote w:id="1">
    <w:p w14:paraId="11983C1B" w14:textId="58072FDB" w:rsidR="009147A4" w:rsidRPr="009147A4" w:rsidRDefault="009147A4">
      <w:pPr>
        <w:pStyle w:val="FootnoteText"/>
        <w:rPr>
          <w:rFonts w:ascii="Times New Roman" w:hAnsi="Times New Roman" w:cs="Times New Roman"/>
          <w:sz w:val="24"/>
          <w:szCs w:val="24"/>
        </w:rPr>
      </w:pPr>
      <w:r w:rsidRPr="009147A4">
        <w:rPr>
          <w:rStyle w:val="FootnoteReference"/>
          <w:rFonts w:ascii="Times New Roman" w:hAnsi="Times New Roman" w:cs="Times New Roman"/>
          <w:sz w:val="24"/>
          <w:szCs w:val="24"/>
        </w:rPr>
        <w:footnoteRef/>
      </w:r>
      <w:r w:rsidRPr="009147A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9147A4">
        <w:rPr>
          <w:rFonts w:ascii="Times New Roman" w:hAnsi="Times New Roman" w:cs="Times New Roman"/>
          <w:sz w:val="24"/>
          <w:szCs w:val="24"/>
          <w:u w:val="single"/>
        </w:rPr>
        <w:t>Erlinger v. United States</w:t>
      </w:r>
      <w:r>
        <w:rPr>
          <w:rFonts w:ascii="Times New Roman" w:hAnsi="Times New Roman" w:cs="Times New Roman"/>
          <w:sz w:val="24"/>
          <w:szCs w:val="24"/>
        </w:rPr>
        <w:t xml:space="preserve">, 602 U.S. 821 (2024), the United States Supreme Court held that enhanced sentencing based upon a finding that prior crimes were committed “on </w:t>
      </w:r>
      <w:r w:rsidR="00141682">
        <w:rPr>
          <w:rFonts w:ascii="Times New Roman" w:hAnsi="Times New Roman" w:cs="Times New Roman"/>
          <w:sz w:val="24"/>
          <w:szCs w:val="24"/>
        </w:rPr>
        <w:t xml:space="preserve">separate occasions” required jury fact-finding.  </w:t>
      </w:r>
      <w:r w:rsidRPr="009147A4">
        <w:rPr>
          <w:rFonts w:ascii="Times New Roman" w:hAnsi="Times New Roman" w:cs="Times New Roman"/>
          <w:sz w:val="24"/>
          <w:szCs w:val="24"/>
          <w:u w:val="single"/>
        </w:rPr>
        <w:t>State v. Carlton</w:t>
      </w:r>
      <w:r w:rsidRPr="009147A4">
        <w:rPr>
          <w:rFonts w:ascii="Times New Roman" w:hAnsi="Times New Roman" w:cs="Times New Roman"/>
          <w:sz w:val="24"/>
          <w:szCs w:val="24"/>
        </w:rPr>
        <w:t xml:space="preserve">, </w:t>
      </w:r>
      <w:r w:rsidR="00C4583F">
        <w:rPr>
          <w:rFonts w:ascii="Times New Roman" w:hAnsi="Times New Roman" w:cs="Times New Roman"/>
          <w:sz w:val="24"/>
          <w:szCs w:val="24"/>
        </w:rPr>
        <w:t>480</w:t>
      </w:r>
      <w:r w:rsidRPr="009147A4">
        <w:rPr>
          <w:rFonts w:ascii="Times New Roman" w:hAnsi="Times New Roman" w:cs="Times New Roman"/>
          <w:sz w:val="24"/>
          <w:szCs w:val="24"/>
        </w:rPr>
        <w:t xml:space="preserve"> N.J. Super. </w:t>
      </w:r>
      <w:r w:rsidR="00C4583F">
        <w:rPr>
          <w:rFonts w:ascii="Times New Roman" w:hAnsi="Times New Roman" w:cs="Times New Roman"/>
          <w:sz w:val="24"/>
          <w:szCs w:val="24"/>
        </w:rPr>
        <w:t>311</w:t>
      </w:r>
      <w:r w:rsidRPr="009147A4">
        <w:rPr>
          <w:rFonts w:ascii="Times New Roman" w:hAnsi="Times New Roman" w:cs="Times New Roman"/>
          <w:sz w:val="24"/>
          <w:szCs w:val="24"/>
        </w:rPr>
        <w:t xml:space="preserve"> (App. Div. December 19, 2024) h</w:t>
      </w:r>
      <w:r w:rsidR="00141682">
        <w:rPr>
          <w:rFonts w:ascii="Times New Roman" w:hAnsi="Times New Roman" w:cs="Times New Roman"/>
          <w:sz w:val="24"/>
          <w:szCs w:val="24"/>
        </w:rPr>
        <w:t xml:space="preserve">eld that </w:t>
      </w:r>
      <w:r w:rsidR="00141682">
        <w:rPr>
          <w:rFonts w:ascii="Times New Roman" w:hAnsi="Times New Roman" w:cs="Times New Roman"/>
          <w:sz w:val="24"/>
          <w:szCs w:val="24"/>
          <w:u w:val="single"/>
        </w:rPr>
        <w:t>Erlinger</w:t>
      </w:r>
      <w:r w:rsidR="00141682">
        <w:rPr>
          <w:rFonts w:ascii="Times New Roman" w:hAnsi="Times New Roman" w:cs="Times New Roman"/>
          <w:sz w:val="24"/>
          <w:szCs w:val="24"/>
        </w:rPr>
        <w:t xml:space="preserve"> applies to New Jersey’s Persistent Offender statute, </w:t>
      </w:r>
      <w:r w:rsidR="00141682">
        <w:rPr>
          <w:rFonts w:ascii="Times New Roman" w:hAnsi="Times New Roman" w:cs="Times New Roman"/>
          <w:sz w:val="24"/>
          <w:szCs w:val="24"/>
          <w:u w:val="single"/>
        </w:rPr>
        <w:t>N.J.S.A.</w:t>
      </w:r>
      <w:r w:rsidR="00141682">
        <w:rPr>
          <w:rFonts w:ascii="Times New Roman" w:hAnsi="Times New Roman" w:cs="Times New Roman"/>
          <w:sz w:val="24"/>
          <w:szCs w:val="24"/>
        </w:rPr>
        <w:t xml:space="preserve"> 2C:44-3a.</w:t>
      </w:r>
      <w:r w:rsidRPr="009147A4">
        <w:rPr>
          <w:rFonts w:ascii="Times New Roman" w:hAnsi="Times New Roman" w:cs="Times New Roman"/>
          <w:sz w:val="24"/>
          <w:szCs w:val="24"/>
        </w:rPr>
        <w:t xml:space="preserve">  Additionally, prospectively, such an allegation must </w:t>
      </w:r>
      <w:r w:rsidR="00141682">
        <w:rPr>
          <w:rFonts w:ascii="Times New Roman" w:hAnsi="Times New Roman" w:cs="Times New Roman"/>
          <w:sz w:val="24"/>
          <w:szCs w:val="24"/>
        </w:rPr>
        <w:t xml:space="preserve">also </w:t>
      </w:r>
      <w:r w:rsidRPr="009147A4">
        <w:rPr>
          <w:rFonts w:ascii="Times New Roman" w:hAnsi="Times New Roman" w:cs="Times New Roman"/>
          <w:sz w:val="24"/>
          <w:szCs w:val="24"/>
        </w:rPr>
        <w:t xml:space="preserve">be presented to a grand jury prior to trial. </w:t>
      </w:r>
    </w:p>
  </w:footnote>
  <w:footnote w:id="2">
    <w:p w14:paraId="5F0FF22E" w14:textId="0E28BC95" w:rsidR="009147A4" w:rsidRPr="009147A4" w:rsidRDefault="009147A4">
      <w:pPr>
        <w:pStyle w:val="FootnoteText"/>
        <w:rPr>
          <w:rFonts w:ascii="Times New Roman" w:hAnsi="Times New Roman" w:cs="Times New Roman"/>
        </w:rPr>
      </w:pPr>
      <w:r w:rsidRPr="009147A4">
        <w:rPr>
          <w:rStyle w:val="FootnoteReference"/>
          <w:rFonts w:ascii="Times New Roman" w:hAnsi="Times New Roman" w:cs="Times New Roman"/>
          <w:sz w:val="24"/>
          <w:szCs w:val="24"/>
        </w:rPr>
        <w:footnoteRef/>
      </w:r>
      <w:r w:rsidRPr="009147A4">
        <w:rPr>
          <w:rFonts w:ascii="Times New Roman" w:hAnsi="Times New Roman" w:cs="Times New Roman"/>
          <w:sz w:val="24"/>
          <w:szCs w:val="24"/>
        </w:rPr>
        <w:t xml:space="preserve"> </w:t>
      </w:r>
      <w:r w:rsidRPr="009147A4">
        <w:rPr>
          <w:rFonts w:ascii="Times New Roman" w:hAnsi="Times New Roman" w:cs="Times New Roman"/>
          <w:sz w:val="24"/>
          <w:szCs w:val="24"/>
          <w:u w:val="single"/>
        </w:rPr>
        <w:t>N.J.S.A.</w:t>
      </w:r>
      <w:r w:rsidRPr="009147A4">
        <w:rPr>
          <w:rFonts w:ascii="Times New Roman" w:hAnsi="Times New Roman" w:cs="Times New Roman"/>
          <w:sz w:val="24"/>
          <w:szCs w:val="24"/>
        </w:rPr>
        <w:t xml:space="preserve"> 2C:44-3a.</w:t>
      </w:r>
    </w:p>
  </w:footnote>
  <w:footnote w:id="3">
    <w:p w14:paraId="6A5BAE1D" w14:textId="4775B187" w:rsidR="009147A4" w:rsidRPr="00141682" w:rsidRDefault="009147A4">
      <w:pPr>
        <w:pStyle w:val="FootnoteText"/>
        <w:rPr>
          <w:rFonts w:ascii="Times New Roman" w:hAnsi="Times New Roman" w:cs="Times New Roman"/>
          <w:sz w:val="24"/>
          <w:szCs w:val="24"/>
          <w:u w:val="single"/>
        </w:rPr>
      </w:pPr>
      <w:r w:rsidRPr="00141682">
        <w:rPr>
          <w:rStyle w:val="FootnoteReference"/>
          <w:rFonts w:ascii="Times New Roman" w:hAnsi="Times New Roman" w:cs="Times New Roman"/>
          <w:sz w:val="24"/>
          <w:szCs w:val="24"/>
        </w:rPr>
        <w:footnoteRef/>
      </w:r>
      <w:r w:rsidRPr="00141682">
        <w:rPr>
          <w:rFonts w:ascii="Times New Roman" w:hAnsi="Times New Roman" w:cs="Times New Roman"/>
          <w:sz w:val="24"/>
          <w:szCs w:val="24"/>
        </w:rPr>
        <w:t xml:space="preserve"> </w:t>
      </w:r>
      <w:proofErr w:type="gramStart"/>
      <w:r w:rsidR="00141682">
        <w:rPr>
          <w:rFonts w:ascii="Times New Roman" w:hAnsi="Times New Roman" w:cs="Times New Roman"/>
          <w:sz w:val="24"/>
          <w:szCs w:val="24"/>
        </w:rPr>
        <w:t>All of</w:t>
      </w:r>
      <w:proofErr w:type="gramEnd"/>
      <w:r w:rsidR="00141682">
        <w:rPr>
          <w:rFonts w:ascii="Times New Roman" w:hAnsi="Times New Roman" w:cs="Times New Roman"/>
          <w:sz w:val="24"/>
          <w:szCs w:val="24"/>
        </w:rPr>
        <w:t xml:space="preserve"> the elements of the Persistent Offender statute require jury fact-finding, not merely whether the prior crimes occurred on separate occasions. </w:t>
      </w:r>
      <w:r w:rsidR="00141682" w:rsidRPr="00141682">
        <w:rPr>
          <w:rFonts w:ascii="Times New Roman" w:hAnsi="Times New Roman" w:cs="Times New Roman"/>
          <w:sz w:val="24"/>
          <w:szCs w:val="24"/>
          <w:u w:val="single"/>
        </w:rPr>
        <w:t>Carlton</w:t>
      </w:r>
      <w:r w:rsidR="00141682">
        <w:rPr>
          <w:rFonts w:ascii="Times New Roman" w:hAnsi="Times New Roman" w:cs="Times New Roman"/>
          <w:sz w:val="24"/>
          <w:szCs w:val="24"/>
        </w:rPr>
        <w:t xml:space="preserve">, </w:t>
      </w:r>
      <w:r w:rsidR="00C4583F">
        <w:rPr>
          <w:rFonts w:ascii="Times New Roman" w:hAnsi="Times New Roman" w:cs="Times New Roman"/>
          <w:sz w:val="24"/>
          <w:szCs w:val="24"/>
        </w:rPr>
        <w:t>480</w:t>
      </w:r>
      <w:r w:rsidR="00141682">
        <w:rPr>
          <w:rFonts w:ascii="Times New Roman" w:hAnsi="Times New Roman" w:cs="Times New Roman"/>
          <w:sz w:val="24"/>
          <w:szCs w:val="24"/>
        </w:rPr>
        <w:t xml:space="preserve"> N.J. Super. at </w:t>
      </w:r>
      <w:r w:rsidR="00C4583F">
        <w:rPr>
          <w:rFonts w:ascii="Times New Roman" w:hAnsi="Times New Roman" w:cs="Times New Roman"/>
          <w:sz w:val="24"/>
          <w:szCs w:val="24"/>
        </w:rPr>
        <w:t>328-29</w:t>
      </w:r>
      <w:r w:rsidR="00141682">
        <w:rPr>
          <w:rFonts w:ascii="Times New Roman" w:hAnsi="Times New Roman" w:cs="Times New Roman"/>
          <w:sz w:val="24"/>
          <w:szCs w:val="24"/>
        </w:rPr>
        <w:t>.</w:t>
      </w:r>
    </w:p>
  </w:footnote>
  <w:footnote w:id="4">
    <w:p w14:paraId="7422140B" w14:textId="337EFA91" w:rsidR="00141682" w:rsidRPr="00A54320" w:rsidRDefault="00141682">
      <w:pPr>
        <w:pStyle w:val="FootnoteText"/>
        <w:rPr>
          <w:rFonts w:ascii="Times New Roman" w:hAnsi="Times New Roman" w:cs="Times New Roman"/>
          <w:sz w:val="22"/>
          <w:szCs w:val="22"/>
        </w:rPr>
      </w:pPr>
      <w:r w:rsidRPr="00A54320">
        <w:rPr>
          <w:rStyle w:val="FootnoteReference"/>
          <w:rFonts w:ascii="Times New Roman" w:hAnsi="Times New Roman" w:cs="Times New Roman"/>
          <w:sz w:val="22"/>
          <w:szCs w:val="22"/>
        </w:rPr>
        <w:footnoteRef/>
      </w:r>
      <w:r w:rsidRPr="00A54320">
        <w:rPr>
          <w:rFonts w:ascii="Times New Roman" w:hAnsi="Times New Roman" w:cs="Times New Roman"/>
          <w:sz w:val="22"/>
          <w:szCs w:val="22"/>
        </w:rPr>
        <w:t xml:space="preserve"> Crimes committed when the defendant was a juvenile are not to be considered, even if the defendant was waived to adult court.  </w:t>
      </w:r>
      <w:r w:rsidRPr="00A54320">
        <w:rPr>
          <w:rFonts w:ascii="Times New Roman" w:hAnsi="Times New Roman" w:cs="Times New Roman"/>
          <w:sz w:val="22"/>
          <w:szCs w:val="22"/>
          <w:u w:val="single"/>
        </w:rPr>
        <w:t>Carlton</w:t>
      </w:r>
      <w:r w:rsidRPr="00A54320">
        <w:rPr>
          <w:rFonts w:ascii="Times New Roman" w:hAnsi="Times New Roman" w:cs="Times New Roman"/>
          <w:sz w:val="22"/>
          <w:szCs w:val="22"/>
        </w:rPr>
        <w:t xml:space="preserve">, </w:t>
      </w:r>
      <w:r w:rsidR="00C4583F" w:rsidRPr="00A54320">
        <w:rPr>
          <w:rFonts w:ascii="Times New Roman" w:hAnsi="Times New Roman" w:cs="Times New Roman"/>
          <w:sz w:val="22"/>
          <w:szCs w:val="22"/>
        </w:rPr>
        <w:t>480</w:t>
      </w:r>
      <w:r w:rsidRPr="00A54320">
        <w:rPr>
          <w:rFonts w:ascii="Times New Roman" w:hAnsi="Times New Roman" w:cs="Times New Roman"/>
          <w:sz w:val="22"/>
          <w:szCs w:val="22"/>
        </w:rPr>
        <w:t xml:space="preserve"> N.J. Super. at </w:t>
      </w:r>
      <w:r w:rsidR="00C4583F" w:rsidRPr="00A54320">
        <w:rPr>
          <w:rFonts w:ascii="Times New Roman" w:hAnsi="Times New Roman" w:cs="Times New Roman"/>
          <w:sz w:val="22"/>
          <w:szCs w:val="22"/>
        </w:rPr>
        <w:t>328</w:t>
      </w:r>
      <w:r w:rsidRPr="00A54320">
        <w:rPr>
          <w:rFonts w:ascii="Times New Roman" w:hAnsi="Times New Roman" w:cs="Times New Roman"/>
          <w:sz w:val="22"/>
          <w:szCs w:val="22"/>
        </w:rPr>
        <w:t>.</w:t>
      </w:r>
    </w:p>
  </w:footnote>
  <w:footnote w:id="5">
    <w:p w14:paraId="205847E9" w14:textId="161A1211" w:rsidR="007D7C80" w:rsidRPr="00A54320" w:rsidRDefault="007D7C80">
      <w:pPr>
        <w:pStyle w:val="FootnoteText"/>
        <w:rPr>
          <w:rFonts w:ascii="Times New Roman" w:hAnsi="Times New Roman" w:cs="Times New Roman"/>
          <w:sz w:val="22"/>
          <w:szCs w:val="22"/>
        </w:rPr>
      </w:pPr>
      <w:r w:rsidRPr="00A54320">
        <w:rPr>
          <w:rStyle w:val="FootnoteReference"/>
          <w:rFonts w:ascii="Times New Roman" w:hAnsi="Times New Roman" w:cs="Times New Roman"/>
          <w:sz w:val="22"/>
          <w:szCs w:val="22"/>
        </w:rPr>
        <w:footnoteRef/>
      </w:r>
      <w:r w:rsidRPr="00A54320">
        <w:rPr>
          <w:rFonts w:ascii="Times New Roman" w:hAnsi="Times New Roman" w:cs="Times New Roman"/>
          <w:sz w:val="22"/>
          <w:szCs w:val="22"/>
        </w:rPr>
        <w:t xml:space="preserve"> The jury can consider crimes committed chronologically after the crime that was the subject of present matter, </w:t>
      </w:r>
      <w:proofErr w:type="gramStart"/>
      <w:r w:rsidRPr="00A54320">
        <w:rPr>
          <w:rFonts w:ascii="Times New Roman" w:hAnsi="Times New Roman" w:cs="Times New Roman"/>
          <w:sz w:val="22"/>
          <w:szCs w:val="22"/>
        </w:rPr>
        <w:t>as long as</w:t>
      </w:r>
      <w:proofErr w:type="gramEnd"/>
      <w:r w:rsidRPr="00A54320">
        <w:rPr>
          <w:rFonts w:ascii="Times New Roman" w:hAnsi="Times New Roman" w:cs="Times New Roman"/>
          <w:sz w:val="22"/>
          <w:szCs w:val="22"/>
        </w:rPr>
        <w:t xml:space="preserve"> the convictions were entered prior to the conviction in the present matter.  </w:t>
      </w:r>
      <w:r w:rsidRPr="00A54320">
        <w:rPr>
          <w:rFonts w:ascii="Times New Roman" w:hAnsi="Times New Roman" w:cs="Times New Roman"/>
          <w:sz w:val="22"/>
          <w:szCs w:val="22"/>
          <w:u w:val="single"/>
        </w:rPr>
        <w:t>State v. Cook</w:t>
      </w:r>
      <w:r w:rsidRPr="00A54320">
        <w:rPr>
          <w:rFonts w:ascii="Times New Roman" w:hAnsi="Times New Roman" w:cs="Times New Roman"/>
          <w:sz w:val="22"/>
          <w:szCs w:val="22"/>
        </w:rPr>
        <w:t xml:space="preserve">, </w:t>
      </w:r>
      <w:r w:rsidR="00B10C25" w:rsidRPr="00A54320">
        <w:rPr>
          <w:rFonts w:ascii="Times New Roman" w:hAnsi="Times New Roman" w:cs="Times New Roman"/>
          <w:sz w:val="22"/>
          <w:szCs w:val="22"/>
        </w:rPr>
        <w:t>330 N.J. Super. 395 (App. Div. 2000).</w:t>
      </w:r>
    </w:p>
  </w:footnote>
  <w:footnote w:id="6">
    <w:p w14:paraId="3085C228" w14:textId="77777777" w:rsidR="00833A01" w:rsidRPr="009C36E5" w:rsidRDefault="00833A01" w:rsidP="00833A01">
      <w:pPr>
        <w:pStyle w:val="FootnoteText"/>
        <w:rPr>
          <w:rFonts w:ascii="Times New Roman" w:hAnsi="Times New Roman" w:cs="Times New Roman"/>
          <w:sz w:val="24"/>
          <w:szCs w:val="24"/>
        </w:rPr>
      </w:pPr>
      <w:r w:rsidRPr="00A54320">
        <w:rPr>
          <w:rStyle w:val="FootnoteReference"/>
          <w:rFonts w:ascii="Times New Roman" w:hAnsi="Times New Roman" w:cs="Times New Roman"/>
          <w:sz w:val="22"/>
          <w:szCs w:val="22"/>
        </w:rPr>
        <w:footnoteRef/>
      </w:r>
      <w:r w:rsidRPr="00A54320">
        <w:rPr>
          <w:rFonts w:ascii="Times New Roman" w:hAnsi="Times New Roman" w:cs="Times New Roman"/>
          <w:sz w:val="22"/>
          <w:szCs w:val="22"/>
        </w:rPr>
        <w:t xml:space="preserve"> </w:t>
      </w:r>
      <w:r w:rsidRPr="00A54320">
        <w:rPr>
          <w:rFonts w:ascii="Times New Roman" w:hAnsi="Times New Roman" w:cs="Times New Roman"/>
          <w:sz w:val="22"/>
          <w:szCs w:val="22"/>
          <w:u w:val="single"/>
        </w:rPr>
        <w:t>N.J.S.A.</w:t>
      </w:r>
      <w:r w:rsidRPr="00A54320">
        <w:rPr>
          <w:rFonts w:ascii="Times New Roman" w:hAnsi="Times New Roman" w:cs="Times New Roman"/>
          <w:sz w:val="22"/>
          <w:szCs w:val="22"/>
        </w:rPr>
        <w:t xml:space="preserve"> 2C:1-4a.</w:t>
      </w:r>
    </w:p>
  </w:footnote>
  <w:footnote w:id="7">
    <w:p w14:paraId="59338178" w14:textId="77777777" w:rsidR="00414DA3" w:rsidRPr="00A54320" w:rsidRDefault="00414DA3" w:rsidP="00414DA3">
      <w:pPr>
        <w:pStyle w:val="FootnoteText"/>
        <w:rPr>
          <w:rFonts w:ascii="Times New Roman" w:hAnsi="Times New Roman" w:cs="Times New Roman"/>
          <w:sz w:val="22"/>
          <w:szCs w:val="22"/>
        </w:rPr>
      </w:pPr>
      <w:r w:rsidRPr="00A54320">
        <w:rPr>
          <w:rStyle w:val="FootnoteReference"/>
          <w:rFonts w:ascii="Times New Roman" w:hAnsi="Times New Roman" w:cs="Times New Roman"/>
          <w:sz w:val="22"/>
          <w:szCs w:val="22"/>
        </w:rPr>
        <w:footnoteRef/>
      </w:r>
      <w:r w:rsidRPr="00A54320">
        <w:rPr>
          <w:rFonts w:ascii="Times New Roman" w:hAnsi="Times New Roman" w:cs="Times New Roman"/>
          <w:sz w:val="22"/>
          <w:szCs w:val="22"/>
        </w:rPr>
        <w:t xml:space="preserve"> </w:t>
      </w:r>
      <w:r w:rsidRPr="00A54320">
        <w:rPr>
          <w:rFonts w:ascii="Times New Roman" w:hAnsi="Times New Roman" w:cs="Times New Roman"/>
          <w:sz w:val="22"/>
          <w:szCs w:val="22"/>
          <w:u w:val="single"/>
        </w:rPr>
        <w:t>N.J.S.A.</w:t>
      </w:r>
      <w:r w:rsidRPr="00A54320">
        <w:rPr>
          <w:rFonts w:ascii="Times New Roman" w:hAnsi="Times New Roman" w:cs="Times New Roman"/>
          <w:sz w:val="22"/>
          <w:szCs w:val="22"/>
        </w:rPr>
        <w:t xml:space="preserve"> 2C:1-4b.</w:t>
      </w:r>
    </w:p>
  </w:footnote>
  <w:footnote w:id="8">
    <w:p w14:paraId="511AB11B" w14:textId="0A6FE390" w:rsidR="000B67BF" w:rsidRPr="009C36E5" w:rsidRDefault="000B67BF" w:rsidP="000B67BF">
      <w:pPr>
        <w:pStyle w:val="FootnoteText"/>
        <w:rPr>
          <w:rFonts w:ascii="Times New Roman" w:hAnsi="Times New Roman" w:cs="Times New Roman"/>
          <w:sz w:val="24"/>
          <w:szCs w:val="24"/>
        </w:rPr>
      </w:pPr>
      <w:r w:rsidRPr="00A54320">
        <w:rPr>
          <w:rStyle w:val="FootnoteReference"/>
          <w:rFonts w:ascii="Times New Roman" w:hAnsi="Times New Roman" w:cs="Times New Roman"/>
          <w:sz w:val="22"/>
          <w:szCs w:val="22"/>
        </w:rPr>
        <w:footnoteRef/>
      </w:r>
      <w:r w:rsidRPr="00A54320">
        <w:rPr>
          <w:rFonts w:ascii="Times New Roman" w:hAnsi="Times New Roman" w:cs="Times New Roman"/>
          <w:sz w:val="22"/>
          <w:szCs w:val="22"/>
        </w:rPr>
        <w:t xml:space="preserve"> This element concerns the dates of the commission of those crimes, rather than the dates of the convictions. </w:t>
      </w:r>
      <w:r w:rsidRPr="00A54320">
        <w:rPr>
          <w:rFonts w:ascii="Times New Roman" w:hAnsi="Times New Roman" w:cs="Times New Roman"/>
          <w:sz w:val="22"/>
          <w:szCs w:val="22"/>
          <w:u w:val="single"/>
        </w:rPr>
        <w:t>State v. Clarity</w:t>
      </w:r>
      <w:r w:rsidRPr="00A54320">
        <w:rPr>
          <w:rFonts w:ascii="Times New Roman" w:hAnsi="Times New Roman" w:cs="Times New Roman"/>
          <w:sz w:val="22"/>
          <w:szCs w:val="22"/>
        </w:rPr>
        <w:t>, 4</w:t>
      </w:r>
      <w:r w:rsidR="00C4583F" w:rsidRPr="00A54320">
        <w:rPr>
          <w:rFonts w:ascii="Times New Roman" w:hAnsi="Times New Roman" w:cs="Times New Roman"/>
          <w:sz w:val="22"/>
          <w:szCs w:val="22"/>
        </w:rPr>
        <w:t>54</w:t>
      </w:r>
      <w:r w:rsidRPr="00A54320">
        <w:rPr>
          <w:rFonts w:ascii="Times New Roman" w:hAnsi="Times New Roman" w:cs="Times New Roman"/>
          <w:sz w:val="22"/>
          <w:szCs w:val="22"/>
        </w:rPr>
        <w:t xml:space="preserve"> N.J. Super. </w:t>
      </w:r>
      <w:r w:rsidR="00C4583F" w:rsidRPr="00A54320">
        <w:rPr>
          <w:rFonts w:ascii="Times New Roman" w:hAnsi="Times New Roman" w:cs="Times New Roman"/>
          <w:sz w:val="22"/>
          <w:szCs w:val="22"/>
        </w:rPr>
        <w:t>603, 608-09</w:t>
      </w:r>
      <w:r w:rsidRPr="00A54320">
        <w:rPr>
          <w:rFonts w:ascii="Times New Roman" w:hAnsi="Times New Roman" w:cs="Times New Roman"/>
          <w:sz w:val="22"/>
          <w:szCs w:val="22"/>
        </w:rPr>
        <w:t xml:space="preserve"> (App. Div. 201</w:t>
      </w:r>
      <w:r w:rsidR="00C4583F" w:rsidRPr="00A54320">
        <w:rPr>
          <w:rFonts w:ascii="Times New Roman" w:hAnsi="Times New Roman" w:cs="Times New Roman"/>
          <w:sz w:val="22"/>
          <w:szCs w:val="22"/>
        </w:rPr>
        <w:t>8</w:t>
      </w:r>
      <w:r w:rsidRPr="00A54320">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E716" w14:textId="77777777" w:rsidR="00A54320" w:rsidRDefault="00B050A8">
    <w:pPr>
      <w:pStyle w:val="Header"/>
    </w:pPr>
    <w:r>
      <w:tab/>
    </w:r>
    <w:r>
      <w:tab/>
    </w:r>
  </w:p>
  <w:p w14:paraId="66B4EBAE" w14:textId="65A0A652" w:rsidR="00F47454" w:rsidRPr="00A54320" w:rsidRDefault="00C4583F" w:rsidP="00A54320">
    <w:pPr>
      <w:pStyle w:val="Header"/>
      <w:jc w:val="right"/>
      <w:rPr>
        <w:rFonts w:ascii="Times New Roman" w:hAnsi="Times New Roman" w:cs="Times New Roman"/>
        <w:b/>
        <w:bCs/>
        <w:sz w:val="22"/>
        <w:szCs w:val="22"/>
      </w:rPr>
    </w:pPr>
    <w:r w:rsidRPr="00A54320">
      <w:rPr>
        <w:rFonts w:ascii="Times New Roman" w:hAnsi="Times New Roman" w:cs="Times New Roman"/>
        <w:b/>
        <w:bCs/>
        <w:sz w:val="22"/>
        <w:szCs w:val="22"/>
      </w:rPr>
      <w:t>Approved</w:t>
    </w:r>
    <w:r w:rsidR="00C45AD3">
      <w:rPr>
        <w:rFonts w:ascii="Times New Roman" w:hAnsi="Times New Roman" w:cs="Times New Roman"/>
        <w:b/>
        <w:bCs/>
        <w:sz w:val="22"/>
        <w:szCs w:val="22"/>
      </w:rPr>
      <w:t xml:space="preserve"> 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92BD3"/>
    <w:multiLevelType w:val="multilevel"/>
    <w:tmpl w:val="30B6370C"/>
    <w:lvl w:ilvl="0">
      <w:start w:val="14"/>
      <w:numFmt w:val="upperLetter"/>
      <w:lvlText w:val="%1"/>
      <w:lvlJc w:val="left"/>
      <w:pPr>
        <w:ind w:left="100" w:hanging="807"/>
      </w:pPr>
      <w:rPr>
        <w:rFonts w:hint="default"/>
        <w:lang w:val="en-US" w:eastAsia="en-US" w:bidi="en-US"/>
      </w:rPr>
    </w:lvl>
    <w:lvl w:ilvl="1">
      <w:start w:val="10"/>
      <w:numFmt w:val="upperLetter"/>
      <w:lvlText w:val="%1.%2"/>
      <w:lvlJc w:val="left"/>
      <w:pPr>
        <w:ind w:left="100" w:hanging="807"/>
      </w:pPr>
      <w:rPr>
        <w:rFonts w:hint="default"/>
        <w:lang w:val="en-US" w:eastAsia="en-US" w:bidi="en-US"/>
      </w:rPr>
    </w:lvl>
    <w:lvl w:ilvl="2">
      <w:start w:val="19"/>
      <w:numFmt w:val="upperLetter"/>
      <w:lvlText w:val="%1.%2.%3"/>
      <w:lvlJc w:val="left"/>
      <w:pPr>
        <w:ind w:left="100" w:hanging="807"/>
      </w:pPr>
      <w:rPr>
        <w:rFonts w:hint="default"/>
        <w:lang w:val="en-US" w:eastAsia="en-US" w:bidi="en-US"/>
      </w:rPr>
    </w:lvl>
    <w:lvl w:ilvl="3">
      <w:start w:val="1"/>
      <w:numFmt w:val="decimal"/>
      <w:lvlText w:val="%4."/>
      <w:lvlJc w:val="left"/>
      <w:pPr>
        <w:ind w:left="2261" w:hanging="721"/>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700" w:hanging="721"/>
      </w:pPr>
      <w:rPr>
        <w:rFonts w:hint="default"/>
        <w:lang w:val="en-US" w:eastAsia="en-US" w:bidi="en-US"/>
      </w:rPr>
    </w:lvl>
    <w:lvl w:ilvl="5">
      <w:numFmt w:val="bullet"/>
      <w:lvlText w:val="•"/>
      <w:lvlJc w:val="left"/>
      <w:pPr>
        <w:ind w:left="5513" w:hanging="721"/>
      </w:pPr>
      <w:rPr>
        <w:rFonts w:hint="default"/>
        <w:lang w:val="en-US" w:eastAsia="en-US" w:bidi="en-US"/>
      </w:rPr>
    </w:lvl>
    <w:lvl w:ilvl="6">
      <w:numFmt w:val="bullet"/>
      <w:lvlText w:val="•"/>
      <w:lvlJc w:val="left"/>
      <w:pPr>
        <w:ind w:left="6326" w:hanging="721"/>
      </w:pPr>
      <w:rPr>
        <w:rFonts w:hint="default"/>
        <w:lang w:val="en-US" w:eastAsia="en-US" w:bidi="en-US"/>
      </w:rPr>
    </w:lvl>
    <w:lvl w:ilvl="7">
      <w:numFmt w:val="bullet"/>
      <w:lvlText w:val="•"/>
      <w:lvlJc w:val="left"/>
      <w:pPr>
        <w:ind w:left="7140" w:hanging="721"/>
      </w:pPr>
      <w:rPr>
        <w:rFonts w:hint="default"/>
        <w:lang w:val="en-US" w:eastAsia="en-US" w:bidi="en-US"/>
      </w:rPr>
    </w:lvl>
    <w:lvl w:ilvl="8">
      <w:numFmt w:val="bullet"/>
      <w:lvlText w:val="•"/>
      <w:lvlJc w:val="left"/>
      <w:pPr>
        <w:ind w:left="7953" w:hanging="721"/>
      </w:pPr>
      <w:rPr>
        <w:rFonts w:hint="default"/>
        <w:lang w:val="en-US" w:eastAsia="en-US" w:bidi="en-US"/>
      </w:rPr>
    </w:lvl>
  </w:abstractNum>
  <w:abstractNum w:abstractNumId="1" w15:restartNumberingAfterBreak="0">
    <w:nsid w:val="6FD17CF8"/>
    <w:multiLevelType w:val="multilevel"/>
    <w:tmpl w:val="045CBFEE"/>
    <w:lvl w:ilvl="0">
      <w:start w:val="14"/>
      <w:numFmt w:val="upperLetter"/>
      <w:lvlText w:val="%1"/>
      <w:lvlJc w:val="left"/>
      <w:pPr>
        <w:ind w:left="100" w:hanging="807"/>
      </w:pPr>
      <w:rPr>
        <w:rFonts w:hint="default"/>
        <w:lang w:val="en-US" w:eastAsia="en-US" w:bidi="en-US"/>
      </w:rPr>
    </w:lvl>
    <w:lvl w:ilvl="1">
      <w:start w:val="10"/>
      <w:numFmt w:val="upperLetter"/>
      <w:lvlText w:val="%1.%2"/>
      <w:lvlJc w:val="left"/>
      <w:pPr>
        <w:ind w:left="100" w:hanging="807"/>
      </w:pPr>
      <w:rPr>
        <w:rFonts w:hint="default"/>
        <w:lang w:val="en-US" w:eastAsia="en-US" w:bidi="en-US"/>
      </w:rPr>
    </w:lvl>
    <w:lvl w:ilvl="2">
      <w:start w:val="19"/>
      <w:numFmt w:val="upperLetter"/>
      <w:lvlText w:val="%1.%2.%3"/>
      <w:lvlJc w:val="left"/>
      <w:pPr>
        <w:ind w:left="100" w:hanging="807"/>
      </w:pPr>
      <w:rPr>
        <w:rFonts w:hint="default"/>
        <w:lang w:val="en-US" w:eastAsia="en-US" w:bidi="en-US"/>
      </w:rPr>
    </w:lvl>
    <w:lvl w:ilvl="3">
      <w:start w:val="1"/>
      <w:numFmt w:val="decimal"/>
      <w:lvlText w:val="%4."/>
      <w:lvlJc w:val="left"/>
      <w:pPr>
        <w:ind w:left="2261" w:hanging="721"/>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4700" w:hanging="721"/>
      </w:pPr>
      <w:rPr>
        <w:rFonts w:hint="default"/>
        <w:lang w:val="en-US" w:eastAsia="en-US" w:bidi="en-US"/>
      </w:rPr>
    </w:lvl>
    <w:lvl w:ilvl="5">
      <w:numFmt w:val="bullet"/>
      <w:lvlText w:val="•"/>
      <w:lvlJc w:val="left"/>
      <w:pPr>
        <w:ind w:left="5513" w:hanging="721"/>
      </w:pPr>
      <w:rPr>
        <w:rFonts w:hint="default"/>
        <w:lang w:val="en-US" w:eastAsia="en-US" w:bidi="en-US"/>
      </w:rPr>
    </w:lvl>
    <w:lvl w:ilvl="6">
      <w:numFmt w:val="bullet"/>
      <w:lvlText w:val="•"/>
      <w:lvlJc w:val="left"/>
      <w:pPr>
        <w:ind w:left="6326" w:hanging="721"/>
      </w:pPr>
      <w:rPr>
        <w:rFonts w:hint="default"/>
        <w:lang w:val="en-US" w:eastAsia="en-US" w:bidi="en-US"/>
      </w:rPr>
    </w:lvl>
    <w:lvl w:ilvl="7">
      <w:numFmt w:val="bullet"/>
      <w:lvlText w:val="•"/>
      <w:lvlJc w:val="left"/>
      <w:pPr>
        <w:ind w:left="7140" w:hanging="721"/>
      </w:pPr>
      <w:rPr>
        <w:rFonts w:hint="default"/>
        <w:lang w:val="en-US" w:eastAsia="en-US" w:bidi="en-US"/>
      </w:rPr>
    </w:lvl>
    <w:lvl w:ilvl="8">
      <w:numFmt w:val="bullet"/>
      <w:lvlText w:val="•"/>
      <w:lvlJc w:val="left"/>
      <w:pPr>
        <w:ind w:left="7953" w:hanging="721"/>
      </w:pPr>
      <w:rPr>
        <w:rFonts w:hint="default"/>
        <w:lang w:val="en-US" w:eastAsia="en-US" w:bidi="en-US"/>
      </w:rPr>
    </w:lvl>
  </w:abstractNum>
  <w:num w:numId="1" w16cid:durableId="666981108">
    <w:abstractNumId w:val="1"/>
  </w:num>
  <w:num w:numId="2" w16cid:durableId="201229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90"/>
    <w:rsid w:val="00016571"/>
    <w:rsid w:val="00036784"/>
    <w:rsid w:val="00092B4B"/>
    <w:rsid w:val="000B11F0"/>
    <w:rsid w:val="000B6523"/>
    <w:rsid w:val="000B67BF"/>
    <w:rsid w:val="000D7598"/>
    <w:rsid w:val="000F49BC"/>
    <w:rsid w:val="000F5E1F"/>
    <w:rsid w:val="00127712"/>
    <w:rsid w:val="00141682"/>
    <w:rsid w:val="00141B10"/>
    <w:rsid w:val="0015402B"/>
    <w:rsid w:val="00173D64"/>
    <w:rsid w:val="001A30CC"/>
    <w:rsid w:val="001A5547"/>
    <w:rsid w:val="001A6712"/>
    <w:rsid w:val="001B30CE"/>
    <w:rsid w:val="001E1FE3"/>
    <w:rsid w:val="001E4113"/>
    <w:rsid w:val="00205D56"/>
    <w:rsid w:val="002233D1"/>
    <w:rsid w:val="0024533A"/>
    <w:rsid w:val="0024707F"/>
    <w:rsid w:val="002477BC"/>
    <w:rsid w:val="00253C9A"/>
    <w:rsid w:val="00255BC8"/>
    <w:rsid w:val="00267240"/>
    <w:rsid w:val="002740D4"/>
    <w:rsid w:val="002A3E90"/>
    <w:rsid w:val="002B0414"/>
    <w:rsid w:val="002B0538"/>
    <w:rsid w:val="002E3591"/>
    <w:rsid w:val="00311A28"/>
    <w:rsid w:val="00315222"/>
    <w:rsid w:val="003214D3"/>
    <w:rsid w:val="00345C79"/>
    <w:rsid w:val="00353849"/>
    <w:rsid w:val="00355D1D"/>
    <w:rsid w:val="00364119"/>
    <w:rsid w:val="003A3EF9"/>
    <w:rsid w:val="003A45C3"/>
    <w:rsid w:val="003E06A5"/>
    <w:rsid w:val="003F4398"/>
    <w:rsid w:val="003F5123"/>
    <w:rsid w:val="00414DA3"/>
    <w:rsid w:val="0045144D"/>
    <w:rsid w:val="00472D65"/>
    <w:rsid w:val="004A4181"/>
    <w:rsid w:val="004A6809"/>
    <w:rsid w:val="004A7972"/>
    <w:rsid w:val="004C7249"/>
    <w:rsid w:val="004E09C1"/>
    <w:rsid w:val="00512E60"/>
    <w:rsid w:val="00520E6C"/>
    <w:rsid w:val="005244DF"/>
    <w:rsid w:val="00524F6F"/>
    <w:rsid w:val="005414F8"/>
    <w:rsid w:val="005550BF"/>
    <w:rsid w:val="005816DC"/>
    <w:rsid w:val="005E483B"/>
    <w:rsid w:val="005E77E2"/>
    <w:rsid w:val="0062437D"/>
    <w:rsid w:val="00641BE7"/>
    <w:rsid w:val="0064620B"/>
    <w:rsid w:val="006B05BF"/>
    <w:rsid w:val="006C0EBF"/>
    <w:rsid w:val="006C2AE8"/>
    <w:rsid w:val="006D4F6C"/>
    <w:rsid w:val="006D78A6"/>
    <w:rsid w:val="006E6179"/>
    <w:rsid w:val="00711E5F"/>
    <w:rsid w:val="007202E2"/>
    <w:rsid w:val="007272C6"/>
    <w:rsid w:val="007424E9"/>
    <w:rsid w:val="00762744"/>
    <w:rsid w:val="00777372"/>
    <w:rsid w:val="00782112"/>
    <w:rsid w:val="00796527"/>
    <w:rsid w:val="007A73FF"/>
    <w:rsid w:val="007B1411"/>
    <w:rsid w:val="007C22D8"/>
    <w:rsid w:val="007D7C80"/>
    <w:rsid w:val="00803DA5"/>
    <w:rsid w:val="00807C46"/>
    <w:rsid w:val="008165DC"/>
    <w:rsid w:val="0082154F"/>
    <w:rsid w:val="00833A01"/>
    <w:rsid w:val="008501F0"/>
    <w:rsid w:val="00850DF8"/>
    <w:rsid w:val="00857959"/>
    <w:rsid w:val="008663AE"/>
    <w:rsid w:val="00870CD2"/>
    <w:rsid w:val="00873961"/>
    <w:rsid w:val="008740BF"/>
    <w:rsid w:val="00877E38"/>
    <w:rsid w:val="00883D35"/>
    <w:rsid w:val="008B40EF"/>
    <w:rsid w:val="008C5237"/>
    <w:rsid w:val="008D1710"/>
    <w:rsid w:val="008D60F9"/>
    <w:rsid w:val="008F283A"/>
    <w:rsid w:val="00907070"/>
    <w:rsid w:val="009147A4"/>
    <w:rsid w:val="0092523E"/>
    <w:rsid w:val="009346F8"/>
    <w:rsid w:val="00935D35"/>
    <w:rsid w:val="00937640"/>
    <w:rsid w:val="009415A4"/>
    <w:rsid w:val="00943061"/>
    <w:rsid w:val="009842BD"/>
    <w:rsid w:val="009A0363"/>
    <w:rsid w:val="009A183D"/>
    <w:rsid w:val="009A6118"/>
    <w:rsid w:val="009A7897"/>
    <w:rsid w:val="009C36E5"/>
    <w:rsid w:val="009E39E3"/>
    <w:rsid w:val="00A06E17"/>
    <w:rsid w:val="00A160EB"/>
    <w:rsid w:val="00A413D0"/>
    <w:rsid w:val="00A54320"/>
    <w:rsid w:val="00A56557"/>
    <w:rsid w:val="00A62D59"/>
    <w:rsid w:val="00A75B44"/>
    <w:rsid w:val="00A80B8C"/>
    <w:rsid w:val="00A84B24"/>
    <w:rsid w:val="00A860D8"/>
    <w:rsid w:val="00AB6B26"/>
    <w:rsid w:val="00B0488B"/>
    <w:rsid w:val="00B050A8"/>
    <w:rsid w:val="00B05529"/>
    <w:rsid w:val="00B10C25"/>
    <w:rsid w:val="00B306AE"/>
    <w:rsid w:val="00B50901"/>
    <w:rsid w:val="00B56203"/>
    <w:rsid w:val="00B93D2B"/>
    <w:rsid w:val="00BA560A"/>
    <w:rsid w:val="00BC454D"/>
    <w:rsid w:val="00BF55BC"/>
    <w:rsid w:val="00C30601"/>
    <w:rsid w:val="00C377AD"/>
    <w:rsid w:val="00C37F18"/>
    <w:rsid w:val="00C4583F"/>
    <w:rsid w:val="00C45AD3"/>
    <w:rsid w:val="00C50092"/>
    <w:rsid w:val="00C75C3C"/>
    <w:rsid w:val="00C86BC3"/>
    <w:rsid w:val="00CA30D0"/>
    <w:rsid w:val="00CA496E"/>
    <w:rsid w:val="00CA55AB"/>
    <w:rsid w:val="00CC6B85"/>
    <w:rsid w:val="00CE0F4B"/>
    <w:rsid w:val="00CF1E0D"/>
    <w:rsid w:val="00D17D8B"/>
    <w:rsid w:val="00D228F8"/>
    <w:rsid w:val="00D30319"/>
    <w:rsid w:val="00D47347"/>
    <w:rsid w:val="00D56D8B"/>
    <w:rsid w:val="00D65DAD"/>
    <w:rsid w:val="00D77793"/>
    <w:rsid w:val="00D855E2"/>
    <w:rsid w:val="00DB054E"/>
    <w:rsid w:val="00DB1FDB"/>
    <w:rsid w:val="00DB4A06"/>
    <w:rsid w:val="00DC5DDB"/>
    <w:rsid w:val="00DE73B6"/>
    <w:rsid w:val="00DF3D16"/>
    <w:rsid w:val="00E162F0"/>
    <w:rsid w:val="00E22207"/>
    <w:rsid w:val="00E22628"/>
    <w:rsid w:val="00E25F10"/>
    <w:rsid w:val="00E432B0"/>
    <w:rsid w:val="00E60648"/>
    <w:rsid w:val="00E650EC"/>
    <w:rsid w:val="00E663A7"/>
    <w:rsid w:val="00E670F4"/>
    <w:rsid w:val="00E87474"/>
    <w:rsid w:val="00E91833"/>
    <w:rsid w:val="00E97452"/>
    <w:rsid w:val="00EA3D01"/>
    <w:rsid w:val="00EA63CD"/>
    <w:rsid w:val="00EC13BB"/>
    <w:rsid w:val="00EC41E6"/>
    <w:rsid w:val="00EF786C"/>
    <w:rsid w:val="00F03453"/>
    <w:rsid w:val="00F11910"/>
    <w:rsid w:val="00F26192"/>
    <w:rsid w:val="00F44DEB"/>
    <w:rsid w:val="00F47454"/>
    <w:rsid w:val="00F61804"/>
    <w:rsid w:val="00F653B0"/>
    <w:rsid w:val="00F77889"/>
    <w:rsid w:val="00F80FBD"/>
    <w:rsid w:val="00F95531"/>
    <w:rsid w:val="00FA7D61"/>
    <w:rsid w:val="00FB096A"/>
    <w:rsid w:val="00FB708A"/>
    <w:rsid w:val="00FD322D"/>
    <w:rsid w:val="00FE6D55"/>
    <w:rsid w:val="00FF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9032"/>
  <w15:chartTrackingRefBased/>
  <w15:docId w15:val="{1F344F17-EB78-4219-BCBB-CB848531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E90"/>
    <w:rPr>
      <w:rFonts w:eastAsiaTheme="majorEastAsia" w:cstheme="majorBidi"/>
      <w:color w:val="272727" w:themeColor="text1" w:themeTint="D8"/>
    </w:rPr>
  </w:style>
  <w:style w:type="paragraph" w:styleId="Title">
    <w:name w:val="Title"/>
    <w:basedOn w:val="Normal"/>
    <w:next w:val="Normal"/>
    <w:link w:val="TitleChar"/>
    <w:uiPriority w:val="10"/>
    <w:qFormat/>
    <w:rsid w:val="002A3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E90"/>
    <w:pPr>
      <w:spacing w:before="160"/>
      <w:jc w:val="center"/>
    </w:pPr>
    <w:rPr>
      <w:i/>
      <w:iCs/>
      <w:color w:val="404040" w:themeColor="text1" w:themeTint="BF"/>
    </w:rPr>
  </w:style>
  <w:style w:type="character" w:customStyle="1" w:styleId="QuoteChar">
    <w:name w:val="Quote Char"/>
    <w:basedOn w:val="DefaultParagraphFont"/>
    <w:link w:val="Quote"/>
    <w:uiPriority w:val="29"/>
    <w:rsid w:val="002A3E90"/>
    <w:rPr>
      <w:i/>
      <w:iCs/>
      <w:color w:val="404040" w:themeColor="text1" w:themeTint="BF"/>
    </w:rPr>
  </w:style>
  <w:style w:type="paragraph" w:styleId="ListParagraph">
    <w:name w:val="List Paragraph"/>
    <w:basedOn w:val="Normal"/>
    <w:uiPriority w:val="1"/>
    <w:qFormat/>
    <w:rsid w:val="002A3E90"/>
    <w:pPr>
      <w:ind w:left="720"/>
      <w:contextualSpacing/>
    </w:pPr>
  </w:style>
  <w:style w:type="character" w:styleId="IntenseEmphasis">
    <w:name w:val="Intense Emphasis"/>
    <w:basedOn w:val="DefaultParagraphFont"/>
    <w:uiPriority w:val="21"/>
    <w:qFormat/>
    <w:rsid w:val="002A3E90"/>
    <w:rPr>
      <w:i/>
      <w:iCs/>
      <w:color w:val="0F4761" w:themeColor="accent1" w:themeShade="BF"/>
    </w:rPr>
  </w:style>
  <w:style w:type="paragraph" w:styleId="IntenseQuote">
    <w:name w:val="Intense Quote"/>
    <w:basedOn w:val="Normal"/>
    <w:next w:val="Normal"/>
    <w:link w:val="IntenseQuoteChar"/>
    <w:uiPriority w:val="30"/>
    <w:qFormat/>
    <w:rsid w:val="002A3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E90"/>
    <w:rPr>
      <w:i/>
      <w:iCs/>
      <w:color w:val="0F4761" w:themeColor="accent1" w:themeShade="BF"/>
    </w:rPr>
  </w:style>
  <w:style w:type="character" w:styleId="IntenseReference">
    <w:name w:val="Intense Reference"/>
    <w:basedOn w:val="DefaultParagraphFont"/>
    <w:uiPriority w:val="32"/>
    <w:qFormat/>
    <w:rsid w:val="002A3E90"/>
    <w:rPr>
      <w:b/>
      <w:bCs/>
      <w:smallCaps/>
      <w:color w:val="0F4761" w:themeColor="accent1" w:themeShade="BF"/>
      <w:spacing w:val="5"/>
    </w:rPr>
  </w:style>
  <w:style w:type="paragraph" w:styleId="BodyText">
    <w:name w:val="Body Text"/>
    <w:basedOn w:val="Normal"/>
    <w:link w:val="BodyTextChar"/>
    <w:uiPriority w:val="1"/>
    <w:qFormat/>
    <w:rsid w:val="002A3E90"/>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2A3E90"/>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F47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54"/>
  </w:style>
  <w:style w:type="paragraph" w:styleId="Footer">
    <w:name w:val="footer"/>
    <w:basedOn w:val="Normal"/>
    <w:link w:val="FooterChar"/>
    <w:uiPriority w:val="99"/>
    <w:unhideWhenUsed/>
    <w:rsid w:val="00F47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54"/>
  </w:style>
  <w:style w:type="paragraph" w:styleId="FootnoteText">
    <w:name w:val="footnote text"/>
    <w:basedOn w:val="Normal"/>
    <w:link w:val="FootnoteTextChar"/>
    <w:uiPriority w:val="99"/>
    <w:semiHidden/>
    <w:unhideWhenUsed/>
    <w:rsid w:val="002B0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538"/>
    <w:rPr>
      <w:sz w:val="20"/>
      <w:szCs w:val="20"/>
    </w:rPr>
  </w:style>
  <w:style w:type="character" w:styleId="FootnoteReference">
    <w:name w:val="footnote reference"/>
    <w:basedOn w:val="DefaultParagraphFont"/>
    <w:uiPriority w:val="99"/>
    <w:semiHidden/>
    <w:unhideWhenUsed/>
    <w:rsid w:val="002B0538"/>
    <w:rPr>
      <w:vertAlign w:val="superscript"/>
    </w:rPr>
  </w:style>
  <w:style w:type="paragraph" w:customStyle="1" w:styleId="Normal0">
    <w:name w:val="Normal_0"/>
    <w:qFormat/>
    <w:rsid w:val="00E60648"/>
    <w:pPr>
      <w:keepLines/>
      <w:widowControl w:val="0"/>
      <w:autoSpaceDE w:val="0"/>
      <w:autoSpaceDN w:val="0"/>
      <w:adjustRightInd w:val="0"/>
      <w:spacing w:after="0" w:line="240" w:lineRule="auto"/>
    </w:pPr>
    <w:rPr>
      <w:rFonts w:ascii="Courier New" w:eastAsia="Times New Roman" w:hAnsi="Courier New" w:cs="Times New Roman"/>
      <w:kern w:val="0"/>
      <w14:ligatures w14:val="none"/>
    </w:rPr>
  </w:style>
  <w:style w:type="character" w:styleId="Hyperlink">
    <w:name w:val="Hyperlink"/>
    <w:basedOn w:val="DefaultParagraphFont"/>
    <w:uiPriority w:val="99"/>
    <w:unhideWhenUsed/>
    <w:rsid w:val="009147A4"/>
    <w:rPr>
      <w:color w:val="467886" w:themeColor="hyperlink"/>
      <w:u w:val="single"/>
    </w:rPr>
  </w:style>
  <w:style w:type="character" w:styleId="UnresolvedMention">
    <w:name w:val="Unresolved Mention"/>
    <w:basedOn w:val="DefaultParagraphFont"/>
    <w:uiPriority w:val="99"/>
    <w:semiHidden/>
    <w:unhideWhenUsed/>
    <w:rsid w:val="0091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555827">
      <w:bodyDiv w:val="1"/>
      <w:marLeft w:val="0"/>
      <w:marRight w:val="0"/>
      <w:marTop w:val="0"/>
      <w:marBottom w:val="0"/>
      <w:divBdr>
        <w:top w:val="none" w:sz="0" w:space="0" w:color="auto"/>
        <w:left w:val="none" w:sz="0" w:space="0" w:color="auto"/>
        <w:bottom w:val="none" w:sz="0" w:space="0" w:color="auto"/>
        <w:right w:val="none" w:sz="0" w:space="0" w:color="auto"/>
      </w:divBdr>
    </w:div>
    <w:div w:id="16034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2D72-DF68-4AAF-9628-B50D0D0C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New Jersey Judiciary</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Butehorn</dc:creator>
  <cp:keywords/>
  <dc:description/>
  <cp:lastModifiedBy>Jamey Robinson</cp:lastModifiedBy>
  <cp:revision>6</cp:revision>
  <dcterms:created xsi:type="dcterms:W3CDTF">2025-05-29T15:37:00Z</dcterms:created>
  <dcterms:modified xsi:type="dcterms:W3CDTF">2025-08-19T17:57:00Z</dcterms:modified>
</cp:coreProperties>
</file>