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C134" w14:textId="77777777" w:rsidR="00CF5BF1" w:rsidRPr="00D55078" w:rsidRDefault="00CF5BF1" w:rsidP="000F12DD">
      <w:pPr>
        <w:pStyle w:val="Normal0"/>
        <w:keepLines w:val="0"/>
        <w:spacing w:after="120"/>
        <w:jc w:val="center"/>
        <w:rPr>
          <w:rFonts w:ascii="Times New Roman" w:hAnsi="Times New Roman"/>
        </w:rPr>
      </w:pPr>
      <w:r w:rsidRPr="00D55078">
        <w:rPr>
          <w:rFonts w:ascii="Times New Roman" w:hAnsi="Times New Roman"/>
          <w:b/>
          <w:bCs/>
          <w:u w:val="single"/>
        </w:rPr>
        <w:t>CERTAIN PERSONS NOT TO HAVE ANY WEAPONS</w:t>
      </w:r>
      <w:r w:rsidRPr="00D55078">
        <w:rPr>
          <w:rStyle w:val="FootnoteReference"/>
          <w:rFonts w:ascii="Times New Roman" w:hAnsi="Times New Roman"/>
          <w:b/>
          <w:bCs/>
          <w:vertAlign w:val="superscript"/>
        </w:rPr>
        <w:footnoteReference w:id="1"/>
      </w:r>
    </w:p>
    <w:p w14:paraId="5C59BA3C" w14:textId="77777777" w:rsidR="00CF5BF1" w:rsidRPr="00D55078" w:rsidRDefault="00CF5BF1" w:rsidP="00E43272">
      <w:pPr>
        <w:pStyle w:val="Normal0"/>
        <w:keepLines w:val="0"/>
        <w:tabs>
          <w:tab w:val="center" w:pos="4680"/>
        </w:tabs>
        <w:spacing w:after="120"/>
        <w:jc w:val="center"/>
        <w:rPr>
          <w:rFonts w:ascii="Times New Roman" w:hAnsi="Times New Roman"/>
          <w:b/>
          <w:bCs/>
        </w:rPr>
      </w:pPr>
      <w:r w:rsidRPr="00D55078">
        <w:rPr>
          <w:rFonts w:ascii="Times New Roman" w:hAnsi="Times New Roman"/>
          <w:b/>
          <w:bCs/>
        </w:rPr>
        <w:t>N.J.S.A. 2C:39-7(a)</w:t>
      </w:r>
    </w:p>
    <w:p w14:paraId="3A585AA2" w14:textId="61A42EC6" w:rsidR="00CF5BF1" w:rsidRDefault="00CF5BF1" w:rsidP="00E43272">
      <w:pPr>
        <w:pStyle w:val="Heading1"/>
        <w:keepNext w:val="0"/>
        <w:keepLines w:val="0"/>
        <w:spacing w:after="120"/>
        <w:ind w:left="0"/>
        <w:jc w:val="center"/>
        <w:rPr>
          <w:u w:val="single"/>
        </w:rPr>
      </w:pPr>
      <w:r w:rsidRPr="00D55078">
        <w:rPr>
          <w:u w:val="single"/>
        </w:rPr>
        <w:t>NOTE</w:t>
      </w:r>
    </w:p>
    <w:p w14:paraId="6A99C80C" w14:textId="77777777" w:rsidR="00CF5BF1" w:rsidRPr="00D55078" w:rsidRDefault="00CF5BF1" w:rsidP="00E43272">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rPr>
          <w:rFonts w:ascii="Times New Roman" w:hAnsi="Times New Roman"/>
          <w:bCs w:val="0"/>
        </w:rPr>
      </w:pPr>
      <w:r w:rsidRPr="00D55078">
        <w:rPr>
          <w:rFonts w:ascii="Times New Roman" w:hAnsi="Times New Roman"/>
          <w:bCs w:val="0"/>
        </w:rPr>
        <w:t>[The following should be charged before the beginning of the second trial if it is tried before the same jury that decided the possessory charge of a weapon or firearm]</w:t>
      </w:r>
    </w:p>
    <w:p w14:paraId="289C7457" w14:textId="77777777" w:rsidR="00CF5BF1" w:rsidRPr="00D55078" w:rsidRDefault="00CF5BF1" w:rsidP="00E43272">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Cs w:val="0"/>
        </w:rPr>
      </w:pPr>
    </w:p>
    <w:p w14:paraId="1527EA60" w14:textId="77777777" w:rsidR="00CF5BF1" w:rsidRPr="00D55078" w:rsidRDefault="00CF5BF1" w:rsidP="00E43272">
      <w:pPr>
        <w:pStyle w:val="Normal0"/>
        <w:keepLines w:val="0"/>
        <w:spacing w:line="360" w:lineRule="auto"/>
        <w:ind w:firstLine="720"/>
        <w:jc w:val="both"/>
        <w:rPr>
          <w:rFonts w:ascii="Times New Roman" w:hAnsi="Times New Roman"/>
        </w:rPr>
      </w:pPr>
      <w:r w:rsidRPr="00D55078">
        <w:rPr>
          <w:rFonts w:ascii="Times New Roman" w:hAnsi="Times New Roman"/>
        </w:rPr>
        <w:t xml:space="preserve">Now there is an additional charge for you to consider. </w:t>
      </w:r>
    </w:p>
    <w:p w14:paraId="37572444" w14:textId="77777777" w:rsidR="00CF5BF1" w:rsidRPr="00D55078" w:rsidRDefault="00CF5BF1" w:rsidP="00E43272">
      <w:pPr>
        <w:pStyle w:val="Normal0"/>
        <w:keepLines w:val="0"/>
        <w:spacing w:line="360" w:lineRule="auto"/>
        <w:ind w:firstLine="720"/>
        <w:jc w:val="both"/>
        <w:rPr>
          <w:rFonts w:ascii="Times New Roman" w:hAnsi="Times New Roman"/>
        </w:rPr>
      </w:pPr>
      <w:r w:rsidRPr="00D55078">
        <w:rPr>
          <w:rFonts w:ascii="Times New Roman" w:hAnsi="Times New Roman"/>
        </w:rPr>
        <w:t xml:space="preserve">Count _____ charges the defendant with possession of a __________________ by a previously convicted person.  </w:t>
      </w:r>
    </w:p>
    <w:p w14:paraId="251711CE" w14:textId="77777777" w:rsidR="00CF5BF1" w:rsidRPr="00D55078" w:rsidRDefault="00CF5BF1" w:rsidP="00E43272">
      <w:pPr>
        <w:pStyle w:val="Normal0"/>
        <w:keepLines w:val="0"/>
        <w:spacing w:line="360" w:lineRule="auto"/>
        <w:jc w:val="center"/>
        <w:rPr>
          <w:rFonts w:ascii="Times New Roman" w:hAnsi="Times New Roman"/>
          <w:b/>
        </w:rPr>
      </w:pPr>
      <w:r w:rsidRPr="00D55078">
        <w:rPr>
          <w:rFonts w:ascii="Times New Roman" w:hAnsi="Times New Roman"/>
          <w:b/>
        </w:rPr>
        <w:t>(Read Certain Persons count of the Indictment)</w:t>
      </w:r>
      <w:r w:rsidRPr="00D55078">
        <w:rPr>
          <w:rStyle w:val="FootnoteReference"/>
          <w:rFonts w:ascii="Times New Roman" w:hAnsi="Times New Roman"/>
          <w:b/>
          <w:vertAlign w:val="superscript"/>
        </w:rPr>
        <w:footnoteReference w:id="2"/>
      </w:r>
    </w:p>
    <w:p w14:paraId="0112E228" w14:textId="306C1654" w:rsidR="00CF5BF1" w:rsidRPr="00D55078" w:rsidRDefault="00CF5BF1" w:rsidP="00E43272">
      <w:pPr>
        <w:pStyle w:val="Normal0"/>
        <w:keepLines w:val="0"/>
        <w:spacing w:line="360" w:lineRule="auto"/>
        <w:ind w:firstLine="720"/>
        <w:jc w:val="both"/>
        <w:rPr>
          <w:rFonts w:ascii="Times New Roman" w:hAnsi="Times New Roman"/>
        </w:rPr>
      </w:pPr>
      <w:r w:rsidRPr="00D55078">
        <w:rPr>
          <w:rFonts w:ascii="Times New Roman" w:hAnsi="Times New Roman"/>
        </w:rPr>
        <w:t xml:space="preserve">You must disregard completely your prior </w:t>
      </w:r>
      <w:r w:rsidR="00EE7F44" w:rsidRPr="00D55078">
        <w:rPr>
          <w:rFonts w:ascii="Times New Roman" w:hAnsi="Times New Roman"/>
        </w:rPr>
        <w:t>verdict and</w:t>
      </w:r>
      <w:r w:rsidRPr="00D55078">
        <w:rPr>
          <w:rFonts w:ascii="Times New Roman" w:hAnsi="Times New Roman"/>
        </w:rPr>
        <w:t xml:space="preserve"> consider anew the evidence previously admitted on the possession of a weapon.  The defendant is entitled to the presumption of innocence.  </w:t>
      </w:r>
      <w:proofErr w:type="gramStart"/>
      <w:r w:rsidRPr="00D55078">
        <w:rPr>
          <w:rFonts w:ascii="Times New Roman" w:hAnsi="Times New Roman"/>
        </w:rPr>
        <w:t>Each and every</w:t>
      </w:r>
      <w:proofErr w:type="gramEnd"/>
      <w:r w:rsidRPr="00D55078">
        <w:rPr>
          <w:rFonts w:ascii="Times New Roman" w:hAnsi="Times New Roman"/>
        </w:rPr>
        <w:t xml:space="preserve"> material fact that makes up the crime, including the element of possession, must be proven by the State beyond a reasonable doubt.</w:t>
      </w:r>
      <w:r w:rsidRPr="00D55078">
        <w:rPr>
          <w:rStyle w:val="FootnoteReference"/>
          <w:rFonts w:ascii="Times New Roman" w:hAnsi="Times New Roman"/>
          <w:vertAlign w:val="superscript"/>
        </w:rPr>
        <w:footnoteReference w:id="3"/>
      </w:r>
    </w:p>
    <w:p w14:paraId="4C7AD599" w14:textId="77777777" w:rsidR="00CF5BF1" w:rsidRPr="00D55078" w:rsidRDefault="00CF5BF1" w:rsidP="00E43272">
      <w:pPr>
        <w:pStyle w:val="Normal0"/>
        <w:keepLines w:val="0"/>
        <w:tabs>
          <w:tab w:val="center" w:pos="4680"/>
        </w:tabs>
        <w:spacing w:line="360" w:lineRule="auto"/>
        <w:jc w:val="center"/>
        <w:rPr>
          <w:rFonts w:ascii="Times New Roman" w:hAnsi="Times New Roman"/>
          <w:b/>
          <w:bCs/>
        </w:rPr>
      </w:pPr>
      <w:r w:rsidRPr="00D55078">
        <w:rPr>
          <w:rFonts w:ascii="Times New Roman" w:hAnsi="Times New Roman"/>
          <w:b/>
          <w:bCs/>
        </w:rPr>
        <w:t>[CHARGE IN ALL CASES]</w:t>
      </w:r>
    </w:p>
    <w:p w14:paraId="1F6129D9" w14:textId="77777777" w:rsidR="00CF5BF1" w:rsidRPr="00D55078" w:rsidRDefault="00CF5BF1" w:rsidP="00E43272">
      <w:pPr>
        <w:pStyle w:val="Normal0"/>
        <w:keepLines w:val="0"/>
        <w:spacing w:line="360" w:lineRule="auto"/>
        <w:ind w:firstLine="720"/>
        <w:rPr>
          <w:rFonts w:ascii="Times New Roman" w:hAnsi="Times New Roman"/>
        </w:rPr>
      </w:pPr>
      <w:r w:rsidRPr="00D55078">
        <w:rPr>
          <w:rFonts w:ascii="Times New Roman" w:hAnsi="Times New Roman"/>
        </w:rPr>
        <w:t>Count ________of the indictment charges defendant with violating a statute which reads as follows:</w:t>
      </w:r>
    </w:p>
    <w:p w14:paraId="6D8F31E9" w14:textId="77777777" w:rsidR="00CF5BF1" w:rsidRPr="00D55078" w:rsidRDefault="00CF5BF1" w:rsidP="00E43272">
      <w:pPr>
        <w:pStyle w:val="Normal0"/>
        <w:keepLines w:val="0"/>
        <w:spacing w:line="360" w:lineRule="auto"/>
        <w:jc w:val="center"/>
        <w:rPr>
          <w:rFonts w:ascii="Times New Roman" w:hAnsi="Times New Roman"/>
          <w:b/>
          <w:bCs/>
        </w:rPr>
      </w:pPr>
      <w:r w:rsidRPr="00D55078">
        <w:rPr>
          <w:rFonts w:ascii="Times New Roman" w:hAnsi="Times New Roman"/>
          <w:b/>
          <w:bCs/>
        </w:rPr>
        <w:t>[Select the appropriate section of the statute from below]</w:t>
      </w:r>
    </w:p>
    <w:p w14:paraId="297AADCF" w14:textId="4E9F57A8" w:rsidR="00CF5BF1" w:rsidRPr="00D55078" w:rsidRDefault="00CF5BF1" w:rsidP="00E43272">
      <w:pPr>
        <w:pStyle w:val="Normal0"/>
        <w:keepLines w:val="0"/>
        <w:ind w:left="1440" w:right="1080"/>
        <w:rPr>
          <w:rFonts w:ascii="Times New Roman" w:hAnsi="Times New Roman"/>
        </w:rPr>
      </w:pPr>
      <w:r w:rsidRPr="00D55078">
        <w:rPr>
          <w:rFonts w:ascii="Times New Roman" w:hAnsi="Times New Roman"/>
        </w:rPr>
        <w:t>Any person having been convicted in this State or elsewhere of certain</w:t>
      </w:r>
    </w:p>
    <w:p w14:paraId="626AA2E8" w14:textId="77777777" w:rsidR="00CF5BF1" w:rsidRPr="00D55078" w:rsidRDefault="00CF5BF1" w:rsidP="000F12DD">
      <w:pPr>
        <w:pStyle w:val="Normal0"/>
        <w:keepLines w:val="0"/>
        <w:spacing w:after="120"/>
        <w:ind w:left="1440" w:right="1080"/>
        <w:rPr>
          <w:rFonts w:ascii="Times New Roman" w:hAnsi="Times New Roman"/>
        </w:rPr>
      </w:pPr>
      <w:r w:rsidRPr="00D55078">
        <w:rPr>
          <w:rFonts w:ascii="Times New Roman" w:hAnsi="Times New Roman"/>
        </w:rPr>
        <w:t>enumerated offenses</w:t>
      </w:r>
      <w:r w:rsidRPr="00D55078">
        <w:rPr>
          <w:rStyle w:val="FootnoteReference"/>
          <w:rFonts w:ascii="Times New Roman" w:hAnsi="Times New Roman"/>
          <w:vertAlign w:val="superscript"/>
        </w:rPr>
        <w:footnoteReference w:id="4"/>
      </w:r>
      <w:r w:rsidRPr="00D55078">
        <w:rPr>
          <w:rFonts w:ascii="Times New Roman" w:hAnsi="Times New Roman"/>
        </w:rPr>
        <w:t xml:space="preserve">] </w:t>
      </w:r>
      <w:r w:rsidRPr="00D55078">
        <w:rPr>
          <w:rFonts w:ascii="Times New Roman" w:hAnsi="Times New Roman"/>
          <w:b/>
          <w:bCs/>
        </w:rPr>
        <w:t>OR</w:t>
      </w:r>
      <w:r w:rsidRPr="00D55078">
        <w:rPr>
          <w:rFonts w:ascii="Times New Roman" w:hAnsi="Times New Roman"/>
        </w:rPr>
        <w:t xml:space="preserve"> [a predicate offense]</w:t>
      </w:r>
      <w:r w:rsidRPr="00D55078">
        <w:rPr>
          <w:rStyle w:val="FootnoteReference"/>
          <w:rFonts w:ascii="Times New Roman" w:hAnsi="Times New Roman"/>
          <w:vertAlign w:val="superscript"/>
        </w:rPr>
        <w:footnoteReference w:id="5"/>
      </w:r>
      <w:r w:rsidRPr="00D55078">
        <w:rPr>
          <w:rFonts w:ascii="Times New Roman" w:hAnsi="Times New Roman"/>
        </w:rPr>
        <w:t xml:space="preserve"> who purchases, owns, </w:t>
      </w:r>
      <w:proofErr w:type="gramStart"/>
      <w:r w:rsidRPr="00D55078">
        <w:rPr>
          <w:rFonts w:ascii="Times New Roman" w:hAnsi="Times New Roman"/>
        </w:rPr>
        <w:lastRenderedPageBreak/>
        <w:t>possesses</w:t>
      </w:r>
      <w:proofErr w:type="gramEnd"/>
      <w:r w:rsidRPr="00D55078">
        <w:rPr>
          <w:rFonts w:ascii="Times New Roman" w:hAnsi="Times New Roman"/>
        </w:rPr>
        <w:t xml:space="preserve"> or controls any weapon as set out in subsection r. of N.J.S.A. 2C:39-1 is guilty of a crime.</w:t>
      </w:r>
    </w:p>
    <w:p w14:paraId="6D63C98E" w14:textId="77777777" w:rsidR="00CF5BF1" w:rsidRPr="00D55078" w:rsidRDefault="00CF5BF1" w:rsidP="000F12DD">
      <w:pPr>
        <w:pStyle w:val="Normal0"/>
        <w:keepLines w:val="0"/>
        <w:spacing w:after="120"/>
        <w:jc w:val="center"/>
        <w:rPr>
          <w:rFonts w:ascii="Times New Roman" w:hAnsi="Times New Roman"/>
          <w:b/>
          <w:bCs/>
        </w:rPr>
      </w:pPr>
      <w:r w:rsidRPr="00D55078">
        <w:rPr>
          <w:rFonts w:ascii="Times New Roman" w:hAnsi="Times New Roman"/>
          <w:b/>
          <w:bCs/>
        </w:rPr>
        <w:t>[or]</w:t>
      </w:r>
    </w:p>
    <w:p w14:paraId="129356F5" w14:textId="77777777" w:rsidR="00CF5BF1" w:rsidRPr="00D55078" w:rsidRDefault="00CF5BF1" w:rsidP="000F12DD">
      <w:pPr>
        <w:pStyle w:val="BlockText"/>
        <w:keepLines w:val="0"/>
        <w:tabs>
          <w:tab w:val="clear" w:pos="1440"/>
          <w:tab w:val="clear" w:pos="2160"/>
          <w:tab w:val="clear" w:pos="2880"/>
          <w:tab w:val="clear" w:pos="3600"/>
          <w:tab w:val="clear" w:pos="4320"/>
          <w:tab w:val="clear" w:pos="5040"/>
          <w:tab w:val="clear" w:pos="5760"/>
          <w:tab w:val="clear" w:pos="6480"/>
          <w:tab w:val="clear" w:pos="7200"/>
          <w:tab w:val="clear" w:pos="7920"/>
        </w:tabs>
        <w:spacing w:after="120" w:line="240" w:lineRule="auto"/>
        <w:ind w:right="1080"/>
      </w:pPr>
      <w:r w:rsidRPr="00D55078">
        <w:t>Any person who has ever been committed for a mental disorder to any hospital, mental institution or sanitarium unless he possesses a certificate of a medical doctor or psychiatrist licensed to practice in New Jersey or other satisfactory proof that he is no longer suffering from a mental disorder which interferes with or handicaps him in the handling of a firearm, who purchases, owns, possesses or controls any weapon as set out in subsection r. of N.J.S.A. 2C:39-1 is guilty of a crime.</w:t>
      </w:r>
    </w:p>
    <w:p w14:paraId="397BBA63" w14:textId="77777777" w:rsidR="00CF5BF1" w:rsidRPr="00D55078" w:rsidRDefault="00CF5BF1" w:rsidP="000F12DD">
      <w:pPr>
        <w:pStyle w:val="BlockText"/>
        <w:keepLines w:val="0"/>
        <w:tabs>
          <w:tab w:val="clear" w:pos="1440"/>
          <w:tab w:val="clear" w:pos="2160"/>
          <w:tab w:val="clear" w:pos="2880"/>
          <w:tab w:val="clear" w:pos="3600"/>
          <w:tab w:val="clear" w:pos="4320"/>
          <w:tab w:val="clear" w:pos="5040"/>
          <w:tab w:val="clear" w:pos="5760"/>
          <w:tab w:val="clear" w:pos="6480"/>
          <w:tab w:val="clear" w:pos="7200"/>
          <w:tab w:val="clear" w:pos="7920"/>
        </w:tabs>
        <w:spacing w:after="120" w:line="240" w:lineRule="auto"/>
      </w:pPr>
    </w:p>
    <w:p w14:paraId="5AAA4972"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proofErr w:type="gramStart"/>
      <w:r w:rsidRPr="00D55078">
        <w:t>In order for</w:t>
      </w:r>
      <w:proofErr w:type="gramEnd"/>
      <w:r w:rsidRPr="00D55078">
        <w:t xml:space="preserve"> you to find defendant guilty, the State must prove each of the following elements beyond a reasonable doubt:</w:t>
      </w:r>
    </w:p>
    <w:p w14:paraId="51D08051" w14:textId="77777777" w:rsidR="00CF5BF1" w:rsidRPr="00E43272" w:rsidRDefault="00CF5BF1" w:rsidP="000F12DD">
      <w:pPr>
        <w:pStyle w:val="Normal0"/>
        <w:keepLines w:val="0"/>
        <w:spacing w:after="120" w:line="480" w:lineRule="auto"/>
        <w:ind w:right="1080" w:firstLine="1440"/>
        <w:jc w:val="both"/>
        <w:rPr>
          <w:rFonts w:ascii="Times New Roman" w:hAnsi="Times New Roman"/>
        </w:rPr>
      </w:pPr>
      <w:r w:rsidRPr="00D55078">
        <w:rPr>
          <w:rFonts w:ascii="Times New Roman" w:hAnsi="Times New Roman"/>
        </w:rPr>
        <w:t xml:space="preserve">1.   </w:t>
      </w:r>
      <w:r w:rsidRPr="00E43272">
        <w:rPr>
          <w:rFonts w:ascii="Times New Roman" w:hAnsi="Times New Roman"/>
        </w:rPr>
        <w:t>Exhibit_______ is a weapon [or that there was a weapon].</w:t>
      </w:r>
    </w:p>
    <w:p w14:paraId="67681A4B" w14:textId="0824A4C2" w:rsidR="001625A5" w:rsidRDefault="00CF5BF1" w:rsidP="00E43272">
      <w:pPr>
        <w:pStyle w:val="BodyTextIndent2"/>
        <w:keepLines w:val="0"/>
        <w:spacing w:after="120" w:line="240" w:lineRule="auto"/>
        <w:ind w:left="1800" w:right="1080" w:hanging="360"/>
      </w:pPr>
      <w:r w:rsidRPr="00E43272">
        <w:t xml:space="preserve">2.  Defendant purchased, owned, </w:t>
      </w:r>
      <w:proofErr w:type="gramStart"/>
      <w:r w:rsidRPr="00E43272">
        <w:t>possessed</w:t>
      </w:r>
      <w:proofErr w:type="gramEnd"/>
      <w:r w:rsidRPr="00E43272">
        <w:t xml:space="preserve"> or controlled the weapon [on the date alleged in the indictment].</w:t>
      </w:r>
    </w:p>
    <w:p w14:paraId="00D15F6D" w14:textId="77777777" w:rsidR="00E43272" w:rsidRPr="00E43272" w:rsidRDefault="00E43272" w:rsidP="00E43272">
      <w:pPr>
        <w:pStyle w:val="BodyTextIndent2"/>
        <w:keepLines w:val="0"/>
        <w:spacing w:after="120" w:line="240" w:lineRule="auto"/>
        <w:ind w:left="1800" w:right="1080" w:hanging="360"/>
      </w:pPr>
    </w:p>
    <w:p w14:paraId="3AA3B984" w14:textId="1E456609" w:rsidR="00CF5BF1" w:rsidRPr="00E43272" w:rsidRDefault="00CF5BF1" w:rsidP="000F12DD">
      <w:pPr>
        <w:pStyle w:val="Normal0"/>
        <w:keepLines w:val="0"/>
        <w:spacing w:after="120" w:line="480" w:lineRule="auto"/>
        <w:jc w:val="center"/>
        <w:rPr>
          <w:rFonts w:ascii="Times New Roman" w:hAnsi="Times New Roman"/>
          <w:b/>
          <w:bCs/>
        </w:rPr>
      </w:pPr>
      <w:r w:rsidRPr="00E43272">
        <w:rPr>
          <w:rFonts w:ascii="Times New Roman" w:hAnsi="Times New Roman"/>
          <w:b/>
          <w:bCs/>
        </w:rPr>
        <w:t>[Choose appropriate]</w:t>
      </w:r>
    </w:p>
    <w:p w14:paraId="3610D12C" w14:textId="77777777" w:rsidR="00CF5BF1" w:rsidRPr="00E43272" w:rsidRDefault="00CF5BF1" w:rsidP="000F12DD">
      <w:pPr>
        <w:pStyle w:val="BodyTextIndent2"/>
        <w:keepLines w:val="0"/>
        <w:spacing w:after="120" w:line="240" w:lineRule="auto"/>
        <w:ind w:left="1800" w:right="1080" w:hanging="360"/>
      </w:pPr>
      <w:r w:rsidRPr="00E43272">
        <w:t xml:space="preserve">3.  Defendant is a person who previously has been convicted of [a certain enumerated crime named in the statute] </w:t>
      </w:r>
      <w:r w:rsidRPr="00E43272">
        <w:rPr>
          <w:b/>
          <w:bCs/>
        </w:rPr>
        <w:t>OR</w:t>
      </w:r>
      <w:r w:rsidRPr="00E43272">
        <w:t xml:space="preserve"> [a predicate offense].</w:t>
      </w:r>
    </w:p>
    <w:p w14:paraId="21750B77" w14:textId="77777777" w:rsidR="00CF5BF1" w:rsidRPr="00E43272" w:rsidRDefault="00CF5BF1" w:rsidP="000F12DD">
      <w:pPr>
        <w:pStyle w:val="Normal0"/>
        <w:keepLines w:val="0"/>
        <w:spacing w:after="120"/>
        <w:jc w:val="center"/>
        <w:rPr>
          <w:rFonts w:ascii="Times New Roman" w:hAnsi="Times New Roman"/>
          <w:b/>
          <w:bCs/>
        </w:rPr>
      </w:pPr>
      <w:r w:rsidRPr="00E43272">
        <w:rPr>
          <w:rFonts w:ascii="Times New Roman" w:hAnsi="Times New Roman"/>
          <w:b/>
          <w:bCs/>
        </w:rPr>
        <w:t>[or]</w:t>
      </w:r>
    </w:p>
    <w:p w14:paraId="60403EC1" w14:textId="77777777" w:rsidR="00CF5BF1" w:rsidRPr="00D55078" w:rsidRDefault="00CF5BF1" w:rsidP="000F12DD">
      <w:pPr>
        <w:pStyle w:val="BodyTextIndent3"/>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ind w:left="1800" w:right="1080" w:hanging="360"/>
      </w:pPr>
      <w:r w:rsidRPr="00D55078">
        <w:t xml:space="preserve">3.   Defendant is a person who previously has been committed for a mental disorder to any hospital, mental </w:t>
      </w:r>
      <w:proofErr w:type="gramStart"/>
      <w:r w:rsidRPr="00D55078">
        <w:t>institution</w:t>
      </w:r>
      <w:proofErr w:type="gramEnd"/>
      <w:r w:rsidRPr="00D55078">
        <w:t xml:space="preserve"> or sanitarium.</w:t>
      </w:r>
    </w:p>
    <w:p w14:paraId="6E5FA67C"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The first element the State must prove beyond a reasonable doubt is that exhibit ______ is a weapon [or that there was such a weapon].  A weapon means anything readily capable of lethal use or of inflicting serious bodily injury.</w:t>
      </w:r>
      <w:r w:rsidRPr="00D55078">
        <w:rPr>
          <w:rStyle w:val="FootnoteReference"/>
          <w:rFonts w:ascii="Times New Roman" w:hAnsi="Times New Roman"/>
          <w:vertAlign w:val="superscript"/>
        </w:rPr>
        <w:footnoteReference w:id="6"/>
      </w:r>
      <w:r w:rsidRPr="00D55078">
        <w:rPr>
          <w:rFonts w:ascii="Times New Roman" w:hAnsi="Times New Roman"/>
        </w:rPr>
        <w:t xml:space="preserve">  [At this point, if the weapon alleged in the indictment is a specific weapon which is defined in a subsection of N.J.S.A. 2C:39-1, then you should read that definition to the jury].  [</w:t>
      </w:r>
      <w:r w:rsidRPr="00D55078">
        <w:rPr>
          <w:rFonts w:ascii="Times New Roman" w:hAnsi="Times New Roman"/>
          <w:b/>
          <w:bCs/>
        </w:rPr>
        <w:t>Additionally, if appropriate, read the following passage:</w:t>
      </w:r>
      <w:r w:rsidRPr="00D55078">
        <w:rPr>
          <w:rFonts w:ascii="Times New Roman" w:hAnsi="Times New Roman"/>
        </w:rPr>
        <w:t xml:space="preserve">  Some objects that may be used as weapons also have more innocent purposes.  Where the object is </w:t>
      </w:r>
      <w:r w:rsidRPr="00D55078">
        <w:rPr>
          <w:rFonts w:ascii="Times New Roman" w:hAnsi="Times New Roman"/>
        </w:rPr>
        <w:lastRenderedPageBreak/>
        <w:t>capable of both innocent and unlawful purposes, the circumstances attending its possession may be considered by you.  “More specifically, the size, shape and condition of the object, whether it was concealed, and the time, place and actions of [defendant] are material circumstances in determining when the particular implement constitutes a weapon under the provisions of this statute.”</w:t>
      </w:r>
      <w:r w:rsidRPr="00D55078">
        <w:rPr>
          <w:rStyle w:val="FootnoteReference"/>
          <w:rFonts w:ascii="Times New Roman" w:hAnsi="Times New Roman"/>
          <w:vertAlign w:val="superscript"/>
        </w:rPr>
        <w:footnoteReference w:id="7"/>
      </w:r>
      <w:r w:rsidRPr="00D55078">
        <w:rPr>
          <w:rFonts w:ascii="Times New Roman" w:hAnsi="Times New Roman"/>
        </w:rPr>
        <w:t>]</w:t>
      </w:r>
    </w:p>
    <w:p w14:paraId="6682C7D3"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The second element the State must prove beyond a reasonable doubt is that defendant knowingly</w:t>
      </w:r>
      <w:r w:rsidRPr="00D55078">
        <w:rPr>
          <w:rStyle w:val="FootnoteReference"/>
          <w:rFonts w:ascii="Times New Roman" w:hAnsi="Times New Roman"/>
          <w:vertAlign w:val="superscript"/>
        </w:rPr>
        <w:footnoteReference w:id="8"/>
      </w:r>
      <w:r w:rsidRPr="00D55078">
        <w:rPr>
          <w:rFonts w:ascii="Times New Roman" w:hAnsi="Times New Roman"/>
        </w:rPr>
        <w:t xml:space="preserve"> purchased, owned, </w:t>
      </w:r>
      <w:proofErr w:type="gramStart"/>
      <w:r w:rsidRPr="00D55078">
        <w:rPr>
          <w:rFonts w:ascii="Times New Roman" w:hAnsi="Times New Roman"/>
        </w:rPr>
        <w:t>possessed</w:t>
      </w:r>
      <w:proofErr w:type="gramEnd"/>
      <w:r w:rsidRPr="00D55078">
        <w:rPr>
          <w:rFonts w:ascii="Times New Roman" w:hAnsi="Times New Roman"/>
        </w:rPr>
        <w:t xml:space="preserve"> or controlled a weapon.  A person acts knowingly with respect to the nature of </w:t>
      </w:r>
      <w:r w:rsidRPr="00D55078">
        <w:rPr>
          <w:rFonts w:ascii="Times New Roman" w:hAnsi="Times New Roman"/>
          <w:highlight w:val="white"/>
        </w:rPr>
        <w:t>his</w:t>
      </w:r>
      <w:r w:rsidRPr="00D55078">
        <w:rPr>
          <w:rFonts w:ascii="Times New Roman" w:hAnsi="Times New Roman"/>
        </w:rPr>
        <w:t xml:space="preserve"> conduct or the attendant circumstances if </w:t>
      </w:r>
      <w:r w:rsidRPr="00D55078">
        <w:rPr>
          <w:rFonts w:ascii="Times New Roman" w:hAnsi="Times New Roman"/>
          <w:highlight w:val="white"/>
        </w:rPr>
        <w:t>he</w:t>
      </w:r>
      <w:r w:rsidRPr="00D55078">
        <w:rPr>
          <w:rFonts w:ascii="Times New Roman" w:hAnsi="Times New Roman"/>
        </w:rPr>
        <w:t xml:space="preserve"> is aware that the conduct is of that nature or that such circumstances </w:t>
      </w:r>
      <w:proofErr w:type="gramStart"/>
      <w:r w:rsidRPr="00D55078">
        <w:rPr>
          <w:rFonts w:ascii="Times New Roman" w:hAnsi="Times New Roman"/>
        </w:rPr>
        <w:t>exist</w:t>
      </w:r>
      <w:proofErr w:type="gramEnd"/>
      <w:r w:rsidRPr="00D55078">
        <w:rPr>
          <w:rFonts w:ascii="Times New Roman" w:hAnsi="Times New Roman"/>
        </w:rPr>
        <w:t xml:space="preserve"> or the person is aware of a high probability of their existence.  A person acts knowingly with respect to a result of the conduct if </w:t>
      </w:r>
      <w:r w:rsidRPr="00D55078">
        <w:rPr>
          <w:rFonts w:ascii="Times New Roman" w:hAnsi="Times New Roman"/>
          <w:highlight w:val="white"/>
        </w:rPr>
        <w:t>he</w:t>
      </w:r>
      <w:r w:rsidRPr="00D55078">
        <w:rPr>
          <w:rFonts w:ascii="Times New Roman" w:hAnsi="Times New Roman"/>
        </w:rPr>
        <w:t xml:space="preserve"> is aware that it is practically certain that the conduct will cause a result.  “Knowing,” “with knowledge,” or equivalent terms have the same meaning.</w:t>
      </w:r>
    </w:p>
    <w:p w14:paraId="4238CF55"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 xml:space="preserve">Knowledge is a condition of the mind.  It cannot be seen.  It can only be determined by inference from defendant’s conduct, </w:t>
      </w:r>
      <w:proofErr w:type="gramStart"/>
      <w:r w:rsidRPr="00D55078">
        <w:t>words</w:t>
      </w:r>
      <w:proofErr w:type="gramEnd"/>
      <w:r w:rsidRPr="00D55078">
        <w:t xml:space="preserve"> or acts.  A state of mind is rarely susceptible of direct proof but must ordinarily be inferred from the facts.  Therefore, it is not necessary that the State produce witnesses to testify that an accused said that </w:t>
      </w:r>
      <w:r w:rsidRPr="00D55078">
        <w:rPr>
          <w:highlight w:val="white"/>
        </w:rPr>
        <w:t>he</w:t>
      </w:r>
      <w:r w:rsidRPr="00D55078">
        <w:t xml:space="preserve"> had a certain state of mind when </w:t>
      </w:r>
      <w:r w:rsidRPr="00D55078">
        <w:rPr>
          <w:highlight w:val="white"/>
        </w:rPr>
        <w:t>he</w:t>
      </w:r>
      <w:r w:rsidRPr="00D55078">
        <w:t xml:space="preserve"> did a particular thing.  It is within your power to find that such proof has been furnished beyond a reasonable doubt by inference which may arise from the nature of </w:t>
      </w:r>
      <w:r w:rsidRPr="00D55078">
        <w:rPr>
          <w:highlight w:val="white"/>
        </w:rPr>
        <w:t>his</w:t>
      </w:r>
      <w:r w:rsidRPr="00D55078">
        <w:t xml:space="preserve"> acts and conduct and from all </w:t>
      </w:r>
      <w:r w:rsidRPr="00D55078">
        <w:rPr>
          <w:highlight w:val="white"/>
        </w:rPr>
        <w:t>he</w:t>
      </w:r>
      <w:r w:rsidRPr="00D55078">
        <w:t xml:space="preserve"> said and did at the </w:t>
      </w:r>
      <w:proofErr w:type="gramStart"/>
      <w:r w:rsidRPr="00D55078">
        <w:t>particular time</w:t>
      </w:r>
      <w:proofErr w:type="gramEnd"/>
      <w:r w:rsidRPr="00D55078">
        <w:t xml:space="preserve"> and place and from all surrounding circumstances established by the evidence.</w:t>
      </w:r>
    </w:p>
    <w:p w14:paraId="1876B604"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To possess</w:t>
      </w:r>
      <w:r w:rsidRPr="00D55078">
        <w:rPr>
          <w:rStyle w:val="FootnoteReference"/>
          <w:rFonts w:ascii="Times New Roman" w:hAnsi="Times New Roman"/>
          <w:vertAlign w:val="superscript"/>
        </w:rPr>
        <w:footnoteReference w:id="9"/>
      </w:r>
      <w:r w:rsidRPr="00D55078">
        <w:rPr>
          <w:rFonts w:ascii="Times New Roman" w:hAnsi="Times New Roman"/>
        </w:rPr>
        <w:t xml:space="preserve"> an item under the law, one must have a knowing intentional control of that item accompanied by a knowledge of its character.  So, a person who possesses [identify relevant item(s)] must know or be aware that </w:t>
      </w:r>
      <w:r w:rsidRPr="00D55078">
        <w:rPr>
          <w:rFonts w:ascii="Times New Roman" w:hAnsi="Times New Roman"/>
          <w:highlight w:val="white"/>
        </w:rPr>
        <w:t>he</w:t>
      </w:r>
      <w:r w:rsidRPr="00D55078">
        <w:rPr>
          <w:rFonts w:ascii="Times New Roman" w:hAnsi="Times New Roman"/>
        </w:rPr>
        <w:t xml:space="preserve"> possesses it, and </w:t>
      </w:r>
      <w:r w:rsidRPr="00D55078">
        <w:rPr>
          <w:rFonts w:ascii="Times New Roman" w:hAnsi="Times New Roman"/>
          <w:highlight w:val="white"/>
        </w:rPr>
        <w:t>he</w:t>
      </w:r>
      <w:r w:rsidRPr="00D55078">
        <w:rPr>
          <w:rFonts w:ascii="Times New Roman" w:hAnsi="Times New Roman"/>
        </w:rPr>
        <w:t xml:space="preserve"> must know what it is that </w:t>
      </w:r>
      <w:r w:rsidRPr="00D55078">
        <w:rPr>
          <w:rFonts w:ascii="Times New Roman" w:hAnsi="Times New Roman"/>
          <w:highlight w:val="white"/>
        </w:rPr>
        <w:t>he</w:t>
      </w:r>
      <w:r w:rsidRPr="00D55078">
        <w:rPr>
          <w:rFonts w:ascii="Times New Roman" w:hAnsi="Times New Roman"/>
        </w:rPr>
        <w:t xml:space="preserve"> possesses or controls, [that it is a __________]</w:t>
      </w:r>
    </w:p>
    <w:p w14:paraId="1D316B88"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w:t>
      </w:r>
      <w:r w:rsidRPr="00D55078">
        <w:rPr>
          <w:b/>
          <w:bCs/>
        </w:rPr>
        <w:t>Where applicable charge the following:</w:t>
      </w:r>
      <w:r w:rsidRPr="00D55078">
        <w:t xml:space="preserve"> Possession cannot merely be a passing control, fleeting or uncertain in its nature.]  In other words, to “possess” within the meaning of the law, the defendant must knowingly procure or receive the item possessed or be aware of </w:t>
      </w:r>
      <w:r w:rsidRPr="00D55078">
        <w:rPr>
          <w:highlight w:val="white"/>
        </w:rPr>
        <w:t>his</w:t>
      </w:r>
      <w:r w:rsidRPr="00D55078">
        <w:t xml:space="preserve"> control thereof </w:t>
      </w:r>
      <w:r w:rsidRPr="00D55078">
        <w:lastRenderedPageBreak/>
        <w:t xml:space="preserve">for a sufficient </w:t>
      </w:r>
      <w:proofErr w:type="gramStart"/>
      <w:r w:rsidRPr="00D55078">
        <w:t>period of time</w:t>
      </w:r>
      <w:proofErr w:type="gramEnd"/>
      <w:r w:rsidRPr="00D55078">
        <w:t xml:space="preserve"> to have been able to relinquish </w:t>
      </w:r>
      <w:r w:rsidRPr="00D55078">
        <w:rPr>
          <w:highlight w:val="white"/>
        </w:rPr>
        <w:t>his</w:t>
      </w:r>
      <w:r w:rsidRPr="00D55078">
        <w:t xml:space="preserve"> control if </w:t>
      </w:r>
      <w:r w:rsidRPr="00D55078">
        <w:rPr>
          <w:highlight w:val="white"/>
        </w:rPr>
        <w:t>he</w:t>
      </w:r>
      <w:r w:rsidRPr="00D55078">
        <w:t xml:space="preserve"> chose to do so.</w:t>
      </w:r>
    </w:p>
    <w:p w14:paraId="0BF6FD1A"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A person may possess __________</w:t>
      </w:r>
      <w:proofErr w:type="gramStart"/>
      <w:r w:rsidRPr="00D55078">
        <w:rPr>
          <w:rFonts w:ascii="Times New Roman" w:hAnsi="Times New Roman"/>
        </w:rPr>
        <w:t>_(</w:t>
      </w:r>
      <w:proofErr w:type="gramEnd"/>
      <w:r w:rsidRPr="00D55078">
        <w:rPr>
          <w:rFonts w:ascii="Times New Roman" w:hAnsi="Times New Roman"/>
        </w:rPr>
        <w:t xml:space="preserve">an item) even though it was not physically on </w:t>
      </w:r>
      <w:r w:rsidRPr="00D55078">
        <w:rPr>
          <w:rFonts w:ascii="Times New Roman" w:hAnsi="Times New Roman"/>
          <w:highlight w:val="white"/>
        </w:rPr>
        <w:t>his</w:t>
      </w:r>
      <w:r w:rsidRPr="00D55078">
        <w:rPr>
          <w:rFonts w:ascii="Times New Roman" w:hAnsi="Times New Roman"/>
        </w:rPr>
        <w:t xml:space="preserve"> person at the time of the arrest, if </w:t>
      </w:r>
      <w:r w:rsidRPr="00D55078">
        <w:rPr>
          <w:rFonts w:ascii="Times New Roman" w:hAnsi="Times New Roman"/>
          <w:highlight w:val="white"/>
        </w:rPr>
        <w:t>he</w:t>
      </w:r>
      <w:r w:rsidRPr="00D55078">
        <w:rPr>
          <w:rFonts w:ascii="Times New Roman" w:hAnsi="Times New Roman"/>
        </w:rPr>
        <w:t xml:space="preserve"> had in fact, at some time prior to </w:t>
      </w:r>
      <w:r w:rsidRPr="00D55078">
        <w:rPr>
          <w:rFonts w:ascii="Times New Roman" w:hAnsi="Times New Roman"/>
          <w:highlight w:val="white"/>
        </w:rPr>
        <w:t>his</w:t>
      </w:r>
      <w:r w:rsidRPr="00D55078">
        <w:rPr>
          <w:rFonts w:ascii="Times New Roman" w:hAnsi="Times New Roman"/>
        </w:rPr>
        <w:t xml:space="preserve"> arrest, had control over it.</w:t>
      </w:r>
    </w:p>
    <w:p w14:paraId="1D5886DE"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Possession means a conscious, knowing possession, either actual or constructive.</w:t>
      </w:r>
    </w:p>
    <w:p w14:paraId="683AC3DE" w14:textId="77777777" w:rsidR="00CF5BF1" w:rsidRPr="00D55078" w:rsidRDefault="00CF5BF1" w:rsidP="000F12DD">
      <w:pPr>
        <w:pStyle w:val="Normal0"/>
        <w:keepLines w:val="0"/>
        <w:spacing w:after="120" w:line="360" w:lineRule="auto"/>
        <w:jc w:val="center"/>
        <w:rPr>
          <w:rFonts w:ascii="Times New Roman" w:hAnsi="Times New Roman"/>
          <w:b/>
          <w:bCs/>
        </w:rPr>
      </w:pPr>
      <w:r w:rsidRPr="00D55078">
        <w:rPr>
          <w:rFonts w:ascii="Times New Roman" w:hAnsi="Times New Roman"/>
          <w:b/>
          <w:bCs/>
        </w:rPr>
        <w:t>[CHARGE THE FOLLOWING PARAGRAPHS WHICH APPLY TO CASE]</w:t>
      </w:r>
    </w:p>
    <w:p w14:paraId="317917F5" w14:textId="77777777" w:rsidR="00CF5BF1" w:rsidRPr="00D55078" w:rsidRDefault="00CF5BF1" w:rsidP="000F12DD">
      <w:pPr>
        <w:pStyle w:val="Normal0"/>
        <w:keepLines w:val="0"/>
        <w:spacing w:after="120" w:line="360" w:lineRule="auto"/>
        <w:rPr>
          <w:rFonts w:ascii="Times New Roman" w:hAnsi="Times New Roman"/>
          <w:b/>
          <w:bCs/>
          <w:u w:val="single"/>
        </w:rPr>
      </w:pPr>
      <w:r w:rsidRPr="00D55078">
        <w:rPr>
          <w:rFonts w:ascii="Times New Roman" w:hAnsi="Times New Roman"/>
          <w:b/>
          <w:bCs/>
          <w:u w:val="single"/>
        </w:rPr>
        <w:t>ACTUAL POSSESSION</w:t>
      </w:r>
    </w:p>
    <w:p w14:paraId="0D98D298" w14:textId="77777777" w:rsidR="00CF5BF1" w:rsidRPr="00D55078" w:rsidRDefault="00CF5BF1" w:rsidP="000F12DD">
      <w:pPr>
        <w:pStyle w:val="Normal0"/>
        <w:keepLines w:val="0"/>
        <w:spacing w:after="120" w:line="360" w:lineRule="auto"/>
        <w:jc w:val="both"/>
        <w:rPr>
          <w:rFonts w:ascii="Times New Roman" w:hAnsi="Times New Roman"/>
          <w:bCs/>
        </w:rPr>
      </w:pPr>
      <w:r w:rsidRPr="00D55078">
        <w:rPr>
          <w:rFonts w:ascii="Times New Roman" w:hAnsi="Times New Roman"/>
          <w:bCs/>
        </w:rPr>
        <w:tab/>
        <w:t xml:space="preserve">A person is in actual possession of a particular article or thing when </w:t>
      </w:r>
      <w:r w:rsidRPr="00D55078">
        <w:rPr>
          <w:rFonts w:ascii="Times New Roman" w:hAnsi="Times New Roman"/>
          <w:bCs/>
          <w:highlight w:val="white"/>
        </w:rPr>
        <w:t>he</w:t>
      </w:r>
      <w:r w:rsidRPr="00D55078">
        <w:rPr>
          <w:rFonts w:ascii="Times New Roman" w:hAnsi="Times New Roman"/>
          <w:bCs/>
        </w:rPr>
        <w:t xml:space="preserve"> first, knows what it is; that is, </w:t>
      </w:r>
      <w:r w:rsidRPr="00D55078">
        <w:rPr>
          <w:rFonts w:ascii="Times New Roman" w:hAnsi="Times New Roman"/>
          <w:bCs/>
          <w:highlight w:val="white"/>
        </w:rPr>
        <w:t>he</w:t>
      </w:r>
      <w:r w:rsidRPr="00D55078">
        <w:rPr>
          <w:rFonts w:ascii="Times New Roman" w:hAnsi="Times New Roman"/>
          <w:bCs/>
        </w:rPr>
        <w:t xml:space="preserve"> has knowledge of its character, and second, knowingly has it on </w:t>
      </w:r>
      <w:r w:rsidRPr="00D55078">
        <w:rPr>
          <w:rFonts w:ascii="Times New Roman" w:hAnsi="Times New Roman"/>
          <w:bCs/>
          <w:highlight w:val="white"/>
        </w:rPr>
        <w:t>his</w:t>
      </w:r>
      <w:r w:rsidRPr="00D55078">
        <w:rPr>
          <w:rFonts w:ascii="Times New Roman" w:hAnsi="Times New Roman"/>
          <w:bCs/>
        </w:rPr>
        <w:t xml:space="preserve"> person at a given time.</w:t>
      </w:r>
    </w:p>
    <w:p w14:paraId="3AD3DAB9" w14:textId="7E63696E" w:rsidR="00CF5BF1" w:rsidRPr="00D55078" w:rsidRDefault="00CF5BF1" w:rsidP="000F12DD">
      <w:pPr>
        <w:pStyle w:val="Normal0"/>
        <w:keepLines w:val="0"/>
        <w:spacing w:after="120" w:line="360" w:lineRule="auto"/>
        <w:rPr>
          <w:rFonts w:ascii="Times New Roman" w:hAnsi="Times New Roman"/>
          <w:b/>
          <w:bCs/>
          <w:u w:val="single"/>
        </w:rPr>
      </w:pPr>
      <w:r w:rsidRPr="00D55078">
        <w:rPr>
          <w:rFonts w:ascii="Times New Roman" w:hAnsi="Times New Roman"/>
          <w:b/>
          <w:bCs/>
          <w:u w:val="single"/>
        </w:rPr>
        <w:t>CONSTRUCTIVE POSSESSION</w:t>
      </w:r>
      <w:r w:rsidRPr="00D55078">
        <w:rPr>
          <w:rStyle w:val="FootnoteReference"/>
          <w:rFonts w:ascii="Times New Roman" w:hAnsi="Times New Roman"/>
          <w:b/>
          <w:bCs/>
          <w:vertAlign w:val="superscript"/>
        </w:rPr>
        <w:footnoteReference w:id="10"/>
      </w:r>
    </w:p>
    <w:p w14:paraId="6C7ACC50"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Possession may be constructive instead of actual.  As I just stated, a person who, with knowledge of its character, knowingly has direct physical control over a thing, at a given time, is in actual possession of it.</w:t>
      </w:r>
    </w:p>
    <w:p w14:paraId="4130DB38" w14:textId="394BE7E4" w:rsidR="00D240E5"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 xml:space="preserve">Constructive possession means possession in which the possessor does not physically have the item on </w:t>
      </w:r>
      <w:r w:rsidR="00A26CA3">
        <w:t>the possessor’s</w:t>
      </w:r>
      <w:r w:rsidRPr="00D55078">
        <w:t xml:space="preserve"> person but is aware that the item is present and is able to and has the intention to exercise control over it.  So, someone who has knowledge of the character of an item and knowingly has both the power and the intention at a given time to exercise control over it, either directly or through another person or persons, is then in constructive possession of that item.</w:t>
      </w:r>
    </w:p>
    <w:p w14:paraId="2E553EC4" w14:textId="5C5EF02D" w:rsidR="00401AAE" w:rsidRPr="00D55078" w:rsidRDefault="00401AAE" w:rsidP="000F12DD">
      <w:pPr>
        <w:pStyle w:val="BodyTextIndent"/>
        <w:keepLines w:val="0"/>
        <w:spacing w:after="120" w:line="360" w:lineRule="auto"/>
        <w:ind w:firstLine="0"/>
        <w:jc w:val="center"/>
        <w:rPr>
          <w:b/>
          <w:bCs/>
          <w:u w:val="single"/>
        </w:rPr>
      </w:pPr>
      <w:r w:rsidRPr="00D55078">
        <w:rPr>
          <w:b/>
          <w:bCs/>
        </w:rPr>
        <w:t>[</w:t>
      </w:r>
      <w:r w:rsidRPr="00D55078">
        <w:rPr>
          <w:b/>
          <w:bCs/>
          <w:u w:val="single"/>
        </w:rPr>
        <w:t>MERE PRESENCE – Read if Appropriate</w:t>
      </w:r>
      <w:r w:rsidRPr="00D55078">
        <w:rPr>
          <w:rFonts w:eastAsia="Times New Roman"/>
          <w:b/>
          <w:vertAlign w:val="superscript"/>
        </w:rPr>
        <w:footnoteReference w:id="11"/>
      </w:r>
      <w:r w:rsidRPr="00D55078">
        <w:rPr>
          <w:b/>
          <w:bCs/>
        </w:rPr>
        <w:t xml:space="preserve"> ]</w:t>
      </w:r>
    </w:p>
    <w:p w14:paraId="1755B860" w14:textId="0DE99BEC" w:rsidR="00401AAE" w:rsidRPr="00D55078" w:rsidRDefault="00401AAE" w:rsidP="000F12DD">
      <w:pPr>
        <w:pStyle w:val="BodyTextIndent"/>
        <w:keepLines w:val="0"/>
        <w:spacing w:after="120" w:line="360" w:lineRule="auto"/>
      </w:pPr>
      <w:r w:rsidRPr="00D55078">
        <w:t xml:space="preserve">Defendant’s mere presence at or near a place where [contraband] is/are discovered is not in itself, without more, proof beyond a reasonable doubt that defendant was in constructive possession of [that contraband].  It is, however, a circumstance to be considered with the other evidence in determining whether the State has proven possession of the [contraband] beyond a reasonable doubt. </w:t>
      </w:r>
    </w:p>
    <w:p w14:paraId="4E8F062D" w14:textId="4D512F5F" w:rsidR="00401AAE" w:rsidRPr="00D55078" w:rsidRDefault="00401AAE" w:rsidP="000F12DD">
      <w:pPr>
        <w:pStyle w:val="BodyTextIndent"/>
        <w:keepLines w:val="0"/>
        <w:spacing w:after="120" w:line="360" w:lineRule="auto"/>
      </w:pPr>
      <w:r w:rsidRPr="00D55078">
        <w:lastRenderedPageBreak/>
        <w:t xml:space="preserve">Where defendant is one of the persons found in the area where [contraband] is/are discovered, you may not conclude, without more, that the State has proven beyond a reasonable doubt that </w:t>
      </w:r>
      <w:r w:rsidR="00EE7F44" w:rsidRPr="00D55078">
        <w:t>the defendant</w:t>
      </w:r>
      <w:r w:rsidRPr="00D55078">
        <w:t xml:space="preserve"> had possession of the [contraband] unless there are other circumstance(s) tending to permit such an inference to be drawn.</w:t>
      </w:r>
      <w:r w:rsidRPr="00D55078">
        <w:rPr>
          <w:rFonts w:eastAsia="Times New Roman"/>
          <w:vertAlign w:val="superscript"/>
        </w:rPr>
        <w:t xml:space="preserve"> </w:t>
      </w:r>
      <w:r w:rsidRPr="00D55078">
        <w:rPr>
          <w:rFonts w:eastAsia="Times New Roman"/>
          <w:vertAlign w:val="superscript"/>
        </w:rPr>
        <w:footnoteReference w:id="12"/>
      </w:r>
      <w:r w:rsidRPr="00D55078">
        <w:t xml:space="preserve">   Such evidence can include, but is not limited to [choose as appropriate]: placement and accessibility of the [contraband]; defendant’s access to and connection with the place where the [contraband] was/were found; </w:t>
      </w:r>
      <w:r w:rsidR="00EE7F44" w:rsidRPr="00D55078">
        <w:t>the defendant’s</w:t>
      </w:r>
      <w:r w:rsidRPr="00D55078">
        <w:t xml:space="preserve"> proximity to the place where the [contraband] was/were found; </w:t>
      </w:r>
      <w:r w:rsidR="00EE7F44" w:rsidRPr="00D55078">
        <w:t xml:space="preserve">the defendant’s </w:t>
      </w:r>
      <w:r w:rsidRPr="00D55078">
        <w:t xml:space="preserve">demeanor when confronted by police after the [contraband] was/were found; whether defendant made any inculpatory statements after the [contraband] was/were found; whether defendant possessed other [contraband] on </w:t>
      </w:r>
      <w:r w:rsidR="00EE7F44" w:rsidRPr="00D55078">
        <w:t xml:space="preserve">the defendant’s </w:t>
      </w:r>
      <w:r w:rsidRPr="00D55078">
        <w:t>person or property when the [contraband] was/were found; [any other evidence deemed part of the totality of circumstances].</w:t>
      </w:r>
      <w:r w:rsidRPr="00D55078">
        <w:rPr>
          <w:rFonts w:eastAsia="Times New Roman"/>
          <w:vertAlign w:val="superscript"/>
        </w:rPr>
        <w:t xml:space="preserve"> </w:t>
      </w:r>
      <w:r w:rsidRPr="00D55078">
        <w:rPr>
          <w:rFonts w:eastAsia="Times New Roman"/>
          <w:vertAlign w:val="superscript"/>
        </w:rPr>
        <w:footnoteReference w:id="13"/>
      </w:r>
      <w:r w:rsidRPr="00D55078">
        <w:rPr>
          <w:rFonts w:eastAsia="Times New Roman"/>
        </w:rPr>
        <w:t xml:space="preserve"> </w:t>
      </w:r>
      <w:r w:rsidRPr="00D55078">
        <w:t xml:space="preserve">  </w:t>
      </w:r>
    </w:p>
    <w:p w14:paraId="5FECDB3D" w14:textId="77777777" w:rsidR="00401AAE" w:rsidRPr="00D55078" w:rsidRDefault="00401AAE"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0"/>
      </w:pPr>
      <w:r w:rsidRPr="00D55078">
        <w:tab/>
        <w:t xml:space="preserve">In summary, the State must prove more than defendant’s mere presence at the time that the [contraband] was/were found.  There must be other circumstance(s) tying defendant to the [contraband] </w:t>
      </w:r>
      <w:proofErr w:type="gramStart"/>
      <w:r w:rsidRPr="00D55078">
        <w:t>in order for</w:t>
      </w:r>
      <w:proofErr w:type="gramEnd"/>
      <w:r w:rsidRPr="00D55078">
        <w:t xml:space="preserve"> the State to prove constructive possession beyond a reasonable doubt.</w:t>
      </w:r>
      <w:r w:rsidRPr="00D55078">
        <w:rPr>
          <w:rFonts w:eastAsia="Times New Roman"/>
          <w:vertAlign w:val="superscript"/>
        </w:rPr>
        <w:footnoteReference w:id="14"/>
      </w:r>
      <w:r w:rsidRPr="00D55078">
        <w:t>]</w:t>
      </w:r>
    </w:p>
    <w:p w14:paraId="1CA3ACC5" w14:textId="7394EB25"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0"/>
        <w:jc w:val="left"/>
        <w:rPr>
          <w:b/>
          <w:bCs/>
          <w:u w:val="single"/>
        </w:rPr>
      </w:pPr>
      <w:r w:rsidRPr="00D55078">
        <w:rPr>
          <w:b/>
          <w:bCs/>
          <w:u w:val="single"/>
        </w:rPr>
        <w:t>JOINT POSSESSION</w:t>
      </w:r>
    </w:p>
    <w:p w14:paraId="4E27D3D6" w14:textId="77777777" w:rsidR="00CF5BF1" w:rsidRPr="00D55078" w:rsidRDefault="00CF5BF1" w:rsidP="000F12DD">
      <w:pPr>
        <w:pStyle w:val="BodyText"/>
        <w:keepLines w:val="0"/>
        <w:spacing w:line="360" w:lineRule="auto"/>
        <w:jc w:val="both"/>
        <w:rPr>
          <w:rFonts w:ascii="Times New Roman" w:hAnsi="Times New Roman"/>
        </w:rPr>
      </w:pPr>
      <w:r w:rsidRPr="00D55078">
        <w:rPr>
          <w:rFonts w:ascii="Times New Roman" w:hAnsi="Times New Roman"/>
        </w:rPr>
        <w:tab/>
        <w:t>Possession may be sole or joint.  If one person alone has actual or constructive possession of a thing, possession is sole.  If two or more persons share actual or constructive knowing possession of an item, possession is joint.</w:t>
      </w:r>
    </w:p>
    <w:p w14:paraId="68F6A383" w14:textId="77777777" w:rsidR="00CF5BF1" w:rsidRPr="00D55078" w:rsidRDefault="00CF5BF1" w:rsidP="000F12DD">
      <w:pPr>
        <w:pStyle w:val="Normal0"/>
        <w:keepLines w:val="0"/>
        <w:spacing w:after="120"/>
        <w:jc w:val="center"/>
        <w:rPr>
          <w:rFonts w:ascii="Times New Roman" w:hAnsi="Times New Roman"/>
          <w:b/>
          <w:bCs/>
        </w:rPr>
      </w:pPr>
      <w:r w:rsidRPr="00D55078">
        <w:rPr>
          <w:rFonts w:ascii="Times New Roman" w:hAnsi="Times New Roman"/>
          <w:b/>
          <w:bCs/>
        </w:rPr>
        <w:t>[Choose the appropriate next paragraph from the following three]</w:t>
      </w:r>
    </w:p>
    <w:p w14:paraId="58EBD292" w14:textId="77777777" w:rsidR="00CF5BF1" w:rsidRPr="00D55078" w:rsidRDefault="00CF5BF1" w:rsidP="000F12DD">
      <w:pPr>
        <w:pStyle w:val="Normal0"/>
        <w:keepLines w:val="0"/>
        <w:spacing w:after="120"/>
        <w:jc w:val="center"/>
        <w:rPr>
          <w:rFonts w:ascii="Times New Roman" w:hAnsi="Times New Roman"/>
          <w:b/>
          <w:bCs/>
        </w:rPr>
      </w:pPr>
      <w:r w:rsidRPr="00D55078">
        <w:rPr>
          <w:rFonts w:ascii="Times New Roman" w:hAnsi="Times New Roman"/>
          <w:b/>
          <w:bCs/>
        </w:rPr>
        <w:t>[If defendant does not stipulate to the predicate offense(s), use the following paragraph]</w:t>
      </w:r>
    </w:p>
    <w:p w14:paraId="3BB04E56" w14:textId="77777777" w:rsidR="00CF5BF1" w:rsidRPr="00D55078" w:rsidRDefault="00CF5BF1" w:rsidP="000F12DD">
      <w:pPr>
        <w:pStyle w:val="Normal0"/>
        <w:keepLines w:val="0"/>
        <w:spacing w:after="120" w:line="360" w:lineRule="auto"/>
        <w:ind w:firstLine="720"/>
        <w:jc w:val="both"/>
        <w:rPr>
          <w:rFonts w:ascii="Times New Roman" w:hAnsi="Times New Roman"/>
          <w:u w:val="single"/>
        </w:rPr>
      </w:pPr>
      <w:r w:rsidRPr="00D55078">
        <w:rPr>
          <w:rFonts w:ascii="Times New Roman" w:hAnsi="Times New Roman"/>
        </w:rPr>
        <w:t>The third element the State must prove beyond a reasonable doubt is that defendant is a person who previously has been convicted of a certain enumerated crime.  The statute specifically provides that “any person having been convicted in this State or elsewhere of the crime of [</w:t>
      </w:r>
      <w:r w:rsidR="009A6B21" w:rsidRPr="00D55078">
        <w:rPr>
          <w:rFonts w:ascii="Times New Roman" w:hAnsi="Times New Roman"/>
        </w:rPr>
        <w:t>s</w:t>
      </w:r>
      <w:r w:rsidRPr="00D55078">
        <w:rPr>
          <w:rFonts w:ascii="Times New Roman" w:hAnsi="Times New Roman"/>
        </w:rPr>
        <w:t xml:space="preserve">elect the enumerated crime listed in the indictment for the Certain Persons count and see footnote 4 </w:t>
      </w:r>
      <w:r w:rsidR="00F0485A" w:rsidRPr="00D55078">
        <w:rPr>
          <w:rFonts w:ascii="Times New Roman" w:hAnsi="Times New Roman"/>
        </w:rPr>
        <w:t>supra</w:t>
      </w:r>
      <w:r w:rsidRPr="00D55078">
        <w:rPr>
          <w:rFonts w:ascii="Times New Roman" w:hAnsi="Times New Roman"/>
        </w:rPr>
        <w:t xml:space="preserve">] who possesses or controls any weapon readily capable of lethal use or of inflicting serious bodily injury (see footnote 6 </w:t>
      </w:r>
      <w:r w:rsidR="00F0485A" w:rsidRPr="00D55078">
        <w:rPr>
          <w:rFonts w:ascii="Times New Roman" w:hAnsi="Times New Roman"/>
        </w:rPr>
        <w:t>supra</w:t>
      </w:r>
      <w:r w:rsidRPr="00D55078">
        <w:rPr>
          <w:rFonts w:ascii="Times New Roman" w:hAnsi="Times New Roman"/>
        </w:rPr>
        <w:t xml:space="preserve">) is guilty of a crime.”  The term “convicted of the crime(s) of </w:t>
      </w:r>
      <w:r w:rsidRPr="00D55078">
        <w:rPr>
          <w:rFonts w:ascii="Times New Roman" w:hAnsi="Times New Roman"/>
        </w:rPr>
        <w:lastRenderedPageBreak/>
        <w:t>...” means evidence of a judgment of conviction</w:t>
      </w:r>
      <w:r w:rsidRPr="00D55078">
        <w:rPr>
          <w:rStyle w:val="FootnoteReference"/>
          <w:rFonts w:ascii="Times New Roman" w:hAnsi="Times New Roman"/>
          <w:vertAlign w:val="superscript"/>
        </w:rPr>
        <w:footnoteReference w:id="15"/>
      </w:r>
      <w:r w:rsidRPr="00D55078">
        <w:rPr>
          <w:rFonts w:ascii="Times New Roman" w:hAnsi="Times New Roman"/>
        </w:rPr>
        <w:t xml:space="preserve"> entered by a court of competent jurisdiction in this State, </w:t>
      </w:r>
      <w:smartTag w:uri="urn:schemas-microsoft-com:office:smarttags" w:element="place">
        <w:smartTag w:uri="urn:schemas-microsoft-com:office:smarttags" w:element="State">
          <w:r w:rsidRPr="00D55078">
            <w:rPr>
              <w:rFonts w:ascii="Times New Roman" w:hAnsi="Times New Roman"/>
            </w:rPr>
            <w:t>New Jersey</w:t>
          </w:r>
        </w:smartTag>
      </w:smartTag>
      <w:r w:rsidRPr="00D55078">
        <w:rPr>
          <w:rFonts w:ascii="Times New Roman" w:hAnsi="Times New Roman"/>
        </w:rPr>
        <w:t>, or elsewhere.</w:t>
      </w:r>
      <w:r w:rsidRPr="00D55078">
        <w:rPr>
          <w:rStyle w:val="FootnoteReference"/>
          <w:rFonts w:ascii="Times New Roman" w:hAnsi="Times New Roman"/>
          <w:vertAlign w:val="superscript"/>
        </w:rPr>
        <w:footnoteReference w:id="16"/>
      </w:r>
      <w:r w:rsidRPr="00D55078">
        <w:rPr>
          <w:rFonts w:ascii="Times New Roman" w:hAnsi="Times New Roman"/>
        </w:rPr>
        <w:t xml:space="preserve">  </w:t>
      </w:r>
      <w:r w:rsidRPr="00D55078">
        <w:rPr>
          <w:rFonts w:ascii="Times New Roman" w:hAnsi="Times New Roman"/>
          <w:b/>
          <w:bCs/>
        </w:rPr>
        <w:t>[Read if appropriate</w:t>
      </w:r>
      <w:r w:rsidRPr="00D55078">
        <w:rPr>
          <w:rFonts w:ascii="Times New Roman" w:hAnsi="Times New Roman"/>
        </w:rPr>
        <w:t>: If defendant has been convicted in another state, territory, commonwealth or other jurisdiction of the United States, or any country in the world, in a court of competent jurisdiction, of a crime which in said other jurisdiction or country is comparable to the crime(s) of ____________________, then defendant is subject to the provisions of this statute.</w:t>
      </w:r>
      <w:r w:rsidRPr="00D55078">
        <w:rPr>
          <w:rStyle w:val="FootnoteReference"/>
          <w:rFonts w:ascii="Times New Roman" w:hAnsi="Times New Roman"/>
          <w:vertAlign w:val="superscript"/>
        </w:rPr>
        <w:footnoteReference w:id="17"/>
      </w:r>
      <w:r w:rsidRPr="00D55078">
        <w:rPr>
          <w:rFonts w:ascii="Times New Roman" w:hAnsi="Times New Roman"/>
        </w:rPr>
        <w:t>]  Here, the State has introduced evidence that the defendant was previously convicted of [specify unredacted nature of offense, degree, and date of conviction].</w:t>
      </w:r>
    </w:p>
    <w:p w14:paraId="75BA0EBB" w14:textId="77777777" w:rsidR="00CF5BF1" w:rsidRPr="00D55078" w:rsidRDefault="00CF5BF1" w:rsidP="000F12DD">
      <w:pPr>
        <w:pStyle w:val="Normal0"/>
        <w:keepLines w:val="0"/>
        <w:spacing w:after="120" w:line="360" w:lineRule="auto"/>
        <w:jc w:val="center"/>
        <w:rPr>
          <w:rFonts w:ascii="Times New Roman" w:hAnsi="Times New Roman"/>
          <w:b/>
          <w:bCs/>
        </w:rPr>
      </w:pPr>
      <w:r w:rsidRPr="00D55078">
        <w:rPr>
          <w:rFonts w:ascii="Times New Roman" w:hAnsi="Times New Roman"/>
          <w:b/>
          <w:bCs/>
        </w:rPr>
        <w:t>[or]</w:t>
      </w:r>
    </w:p>
    <w:p w14:paraId="7DD425CC" w14:textId="77777777" w:rsidR="00CF5BF1" w:rsidRPr="00D55078" w:rsidRDefault="00CF5BF1" w:rsidP="000F12DD">
      <w:pPr>
        <w:pStyle w:val="Normal0"/>
        <w:keepLines w:val="0"/>
        <w:spacing w:after="120" w:line="360" w:lineRule="auto"/>
        <w:jc w:val="center"/>
        <w:rPr>
          <w:rFonts w:ascii="Times New Roman" w:hAnsi="Times New Roman"/>
          <w:b/>
          <w:bCs/>
        </w:rPr>
      </w:pPr>
      <w:r w:rsidRPr="00D55078">
        <w:rPr>
          <w:rFonts w:ascii="Times New Roman" w:hAnsi="Times New Roman"/>
          <w:b/>
          <w:bCs/>
        </w:rPr>
        <w:t>[Where defendant does stipulate to the predicate offense, use the following]</w:t>
      </w:r>
    </w:p>
    <w:p w14:paraId="4EBB0BB4"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 xml:space="preserve">The third element the State must prove beyond a reasonable doubt is that defendant is a person who previously has been convicted of a crime named in the statute or [of the predicate offense].  In this matter, the parties have stipulated, or agreed, that defendant has previously been convicted of such a crime [or a predicate offense].  You are instructed as follows </w:t>
      </w:r>
      <w:proofErr w:type="gramStart"/>
      <w:r w:rsidRPr="00D55078">
        <w:t>with regard to</w:t>
      </w:r>
      <w:proofErr w:type="gramEnd"/>
      <w:r w:rsidRPr="00D55078">
        <w:t xml:space="preserve"> the stipulation: that you should treat these facts as being undisputed, that is, the parties agree that these facts are true.  As with all evidence, undisputed facts can be accepted or rejected by the jury in reaching a verdict.</w:t>
      </w:r>
    </w:p>
    <w:p w14:paraId="78BCD752" w14:textId="77777777" w:rsidR="00CF5BF1" w:rsidRPr="00D55078" w:rsidRDefault="00CF5BF1" w:rsidP="000F12DD">
      <w:pPr>
        <w:pStyle w:val="Normal0"/>
        <w:keepLines w:val="0"/>
        <w:spacing w:after="120" w:line="360" w:lineRule="auto"/>
        <w:jc w:val="center"/>
        <w:rPr>
          <w:rFonts w:ascii="Times New Roman" w:hAnsi="Times New Roman"/>
          <w:b/>
          <w:bCs/>
        </w:rPr>
      </w:pPr>
      <w:r w:rsidRPr="00D55078">
        <w:rPr>
          <w:rFonts w:ascii="Times New Roman" w:hAnsi="Times New Roman"/>
          <w:b/>
          <w:bCs/>
        </w:rPr>
        <w:t>[or]</w:t>
      </w:r>
    </w:p>
    <w:p w14:paraId="7F9D6A4F" w14:textId="77777777" w:rsidR="00CF5BF1" w:rsidRPr="00D55078" w:rsidRDefault="00CF5BF1" w:rsidP="000F12DD">
      <w:pPr>
        <w:pStyle w:val="BodyText"/>
        <w:keepLines w:val="0"/>
        <w:spacing w:line="360" w:lineRule="auto"/>
        <w:ind w:firstLine="720"/>
        <w:jc w:val="both"/>
        <w:rPr>
          <w:rFonts w:ascii="Times New Roman" w:hAnsi="Times New Roman"/>
        </w:rPr>
      </w:pPr>
      <w:r w:rsidRPr="00D55078">
        <w:rPr>
          <w:rFonts w:ascii="Times New Roman" w:hAnsi="Times New Roman"/>
        </w:rPr>
        <w:t xml:space="preserve">The third element the State must prove beyond a reasonable doubt is that defendant is a person who has ever been committed for a mental disorder to any hospital, mental institution or sanitarium unless defendant possesses a certificate of a medical doctor or psychiatrist licensed to practice in New Jersey or other satisfactory proof that </w:t>
      </w:r>
      <w:r w:rsidRPr="00D55078">
        <w:rPr>
          <w:rFonts w:ascii="Times New Roman" w:hAnsi="Times New Roman"/>
          <w:highlight w:val="white"/>
        </w:rPr>
        <w:t>he</w:t>
      </w:r>
      <w:bookmarkStart w:id="0" w:name="Text1"/>
      <w:bookmarkEnd w:id="0"/>
      <w:r w:rsidRPr="00D55078">
        <w:rPr>
          <w:rFonts w:ascii="Times New Roman" w:hAnsi="Times New Roman"/>
        </w:rPr>
        <w:t xml:space="preserve"> is no longer suffering from a mental disorder which interferes with or handicaps </w:t>
      </w:r>
      <w:r w:rsidRPr="00D55078">
        <w:rPr>
          <w:rFonts w:ascii="Times New Roman" w:hAnsi="Times New Roman"/>
          <w:highlight w:val="white"/>
        </w:rPr>
        <w:t>him</w:t>
      </w:r>
      <w:r w:rsidRPr="00D55078">
        <w:rPr>
          <w:rFonts w:ascii="Times New Roman" w:hAnsi="Times New Roman"/>
        </w:rPr>
        <w:t xml:space="preserve"> in the handling of a firearm.</w:t>
      </w:r>
    </w:p>
    <w:p w14:paraId="55044CE9" w14:textId="77777777" w:rsidR="00CF5BF1" w:rsidRPr="00D55078" w:rsidRDefault="00CF5BF1" w:rsidP="000F12DD">
      <w:pPr>
        <w:pStyle w:val="BodyText2"/>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jc w:val="center"/>
        <w:rPr>
          <w:rFonts w:ascii="Times New Roman" w:hAnsi="Times New Roman"/>
        </w:rPr>
      </w:pPr>
      <w:r w:rsidRPr="00D55078">
        <w:rPr>
          <w:rFonts w:ascii="Times New Roman" w:hAnsi="Times New Roman"/>
        </w:rPr>
        <w:t>[Charge in all cases]</w:t>
      </w:r>
    </w:p>
    <w:p w14:paraId="21077C5C"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Normally evidence [of defendant’s prior conviction(s)] or [of the predicate offense(s)] is not permitted under our rules of evidence.  This is because our rules specifically exclude evidence that a defendant has committed prior crimes when i</w:t>
      </w:r>
      <w:bookmarkStart w:id="1" w:name="Text2"/>
      <w:r w:rsidRPr="00D55078">
        <w:rPr>
          <w:rFonts w:ascii="Times New Roman" w:hAnsi="Times New Roman"/>
        </w:rPr>
        <w:t xml:space="preserve">t is offered only to show that </w:t>
      </w:r>
      <w:bookmarkEnd w:id="1"/>
      <w:r w:rsidRPr="00D55078">
        <w:rPr>
          <w:rFonts w:ascii="Times New Roman" w:hAnsi="Times New Roman"/>
          <w:highlight w:val="white"/>
        </w:rPr>
        <w:t>he</w:t>
      </w:r>
      <w:r w:rsidRPr="00D55078">
        <w:rPr>
          <w:rFonts w:ascii="Times New Roman" w:hAnsi="Times New Roman"/>
        </w:rPr>
        <w:t xml:space="preserve"> has a </w:t>
      </w:r>
      <w:r w:rsidRPr="00D55078">
        <w:rPr>
          <w:rFonts w:ascii="Times New Roman" w:hAnsi="Times New Roman"/>
        </w:rPr>
        <w:lastRenderedPageBreak/>
        <w:t>disposition or tendency to do wrong and therefore must be guilty of the present offense. However, our rules do permit evidence of prior crimes when the evidence is used for some other purpose.</w:t>
      </w:r>
      <w:r w:rsidRPr="00D55078">
        <w:rPr>
          <w:rStyle w:val="FootnoteReference"/>
          <w:rFonts w:ascii="Times New Roman" w:hAnsi="Times New Roman"/>
          <w:vertAlign w:val="superscript"/>
        </w:rPr>
        <w:footnoteReference w:id="18"/>
      </w:r>
    </w:p>
    <w:p w14:paraId="373A969C"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rPr>
        <w:t>In this case, the evidence has been introduced for the specific purpose of establishing an element of the present offense.</w:t>
      </w:r>
      <w:r w:rsidRPr="00D55078">
        <w:rPr>
          <w:rStyle w:val="FootnoteReference"/>
          <w:rFonts w:ascii="Times New Roman" w:hAnsi="Times New Roman"/>
          <w:vertAlign w:val="superscript"/>
        </w:rPr>
        <w:footnoteReference w:id="19"/>
      </w:r>
      <w:r w:rsidRPr="00D55078">
        <w:rPr>
          <w:rFonts w:ascii="Times New Roman" w:hAnsi="Times New Roman"/>
        </w:rPr>
        <w:t xml:space="preserve">  You may not use this evidence to decide that defendant </w:t>
      </w:r>
      <w:proofErr w:type="gramStart"/>
      <w:r w:rsidRPr="00D55078">
        <w:rPr>
          <w:rFonts w:ascii="Times New Roman" w:hAnsi="Times New Roman"/>
        </w:rPr>
        <w:t>has a tendency to</w:t>
      </w:r>
      <w:proofErr w:type="gramEnd"/>
      <w:r w:rsidRPr="00D55078">
        <w:rPr>
          <w:rFonts w:ascii="Times New Roman" w:hAnsi="Times New Roman"/>
        </w:rPr>
        <w:t xml:space="preserve"> commit crimes or that </w:t>
      </w:r>
      <w:r w:rsidRPr="00D55078">
        <w:rPr>
          <w:rFonts w:ascii="Times New Roman" w:hAnsi="Times New Roman"/>
          <w:highlight w:val="white"/>
        </w:rPr>
        <w:t>he</w:t>
      </w:r>
      <w:r w:rsidRPr="00D55078">
        <w:rPr>
          <w:rFonts w:ascii="Times New Roman" w:hAnsi="Times New Roman"/>
        </w:rPr>
        <w:t xml:space="preserve"> is a bad person.  That is, you may not decide that, just because the defendant has committed [a] prior crime[s], </w:t>
      </w:r>
      <w:bookmarkStart w:id="2" w:name="Text14"/>
      <w:r w:rsidRPr="00D55078">
        <w:rPr>
          <w:rFonts w:ascii="Times New Roman" w:hAnsi="Times New Roman"/>
          <w:highlight w:val="white"/>
        </w:rPr>
        <w:t>he</w:t>
      </w:r>
      <w:bookmarkEnd w:id="2"/>
      <w:r w:rsidRPr="00D55078">
        <w:rPr>
          <w:rFonts w:ascii="Times New Roman" w:hAnsi="Times New Roman"/>
        </w:rPr>
        <w:t xml:space="preserve"> must be guilty of the present crime[s].  The evidence produced by the State concerning [a] prior conviction[s] is to be considered in determining whether the State has established its burden of proof beyond a reasonable doubt.</w:t>
      </w:r>
      <w:r w:rsidRPr="00D55078">
        <w:rPr>
          <w:rStyle w:val="FootnoteReference"/>
          <w:rFonts w:ascii="Times New Roman" w:hAnsi="Times New Roman"/>
          <w:vertAlign w:val="superscript"/>
        </w:rPr>
        <w:footnoteReference w:id="20"/>
      </w:r>
    </w:p>
    <w:p w14:paraId="5DB0B98F" w14:textId="77777777" w:rsidR="00CF5BF1" w:rsidRPr="00D55078" w:rsidRDefault="00CF5BF1" w:rsidP="000F12DD">
      <w:pPr>
        <w:pStyle w:val="Normal0"/>
        <w:keepLines w:val="0"/>
        <w:spacing w:after="120" w:line="360" w:lineRule="auto"/>
        <w:ind w:firstLine="720"/>
        <w:jc w:val="both"/>
        <w:rPr>
          <w:rFonts w:ascii="Times New Roman" w:hAnsi="Times New Roman"/>
        </w:rPr>
      </w:pPr>
      <w:r w:rsidRPr="00D55078">
        <w:rPr>
          <w:rFonts w:ascii="Times New Roman" w:hAnsi="Times New Roman"/>
          <w:b/>
          <w:bCs/>
        </w:rPr>
        <w:t>[Charge if applicable</w:t>
      </w:r>
      <w:r w:rsidRPr="00D55078">
        <w:rPr>
          <w:rFonts w:ascii="Times New Roman" w:hAnsi="Times New Roman"/>
        </w:rPr>
        <w:t xml:space="preserve"> (where the same jury has already convicted the defendant of</w:t>
      </w:r>
      <w:r w:rsidRPr="00D55078">
        <w:rPr>
          <w:rFonts w:ascii="Times New Roman" w:hAnsi="Times New Roman"/>
          <w:b/>
          <w:bCs/>
        </w:rPr>
        <w:t xml:space="preserve"> </w:t>
      </w:r>
      <w:r w:rsidRPr="00D55078">
        <w:rPr>
          <w:rFonts w:ascii="Times New Roman" w:hAnsi="Times New Roman"/>
        </w:rPr>
        <w:t>another possessory weapons offense or offenses – a bifurcated trial situation):</w:t>
      </w:r>
      <w:r w:rsidRPr="00D55078">
        <w:rPr>
          <w:rStyle w:val="FootnoteReference"/>
          <w:rFonts w:ascii="Times New Roman" w:hAnsi="Times New Roman"/>
          <w:vertAlign w:val="superscript"/>
        </w:rPr>
        <w:footnoteReference w:id="21"/>
      </w:r>
    </w:p>
    <w:p w14:paraId="5FCB8973"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right="-180"/>
      </w:pPr>
      <w:r w:rsidRPr="00D55078">
        <w:t>On the issue of possession, although you may consider evidence previously introduced, the State must prove beyond a reasonable doubt that defendant possessed the [firearm] [weapon] before you may find the defendant guilty on this charge.  In deciding whether the State has carried its burden of proof, you must set aside your previous verdict on this question and begin your deliberations anew.</w:t>
      </w:r>
      <w:r w:rsidRPr="00D55078">
        <w:rPr>
          <w:rStyle w:val="FootnoteReference"/>
          <w:rFonts w:ascii="Times New Roman" w:hAnsi="Times New Roman"/>
          <w:vertAlign w:val="superscript"/>
        </w:rPr>
        <w:footnoteReference w:id="22"/>
      </w:r>
      <w:r w:rsidRPr="00D55078">
        <w:t>]</w:t>
      </w:r>
    </w:p>
    <w:p w14:paraId="1E64ED33" w14:textId="77777777" w:rsidR="00CF5BF1" w:rsidRPr="00D55078" w:rsidRDefault="00CF5BF1" w:rsidP="000F12DD">
      <w:pPr>
        <w:pStyle w:val="Normal0"/>
        <w:keepLines w:val="0"/>
        <w:spacing w:after="120" w:line="360" w:lineRule="auto"/>
        <w:jc w:val="center"/>
        <w:rPr>
          <w:rFonts w:ascii="Times New Roman" w:hAnsi="Times New Roman"/>
          <w:b/>
          <w:bCs/>
        </w:rPr>
      </w:pPr>
      <w:r w:rsidRPr="00D55078">
        <w:rPr>
          <w:rFonts w:ascii="Times New Roman" w:hAnsi="Times New Roman"/>
          <w:b/>
          <w:bCs/>
        </w:rPr>
        <w:t>[Charge in all cases]</w:t>
      </w:r>
    </w:p>
    <w:p w14:paraId="7BB1D314" w14:textId="6FFBB0F5" w:rsidR="000F12DD"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pPr>
      <w:r w:rsidRPr="00D55078">
        <w:t xml:space="preserve">In summary, the State must prove three elements beyond a reasonable doubt - first, that exhibit _________is a weapon (or that there was a weapon); second, that defendant knowingly purchased, owned, </w:t>
      </w:r>
      <w:proofErr w:type="gramStart"/>
      <w:r w:rsidRPr="00D55078">
        <w:t>possessed</w:t>
      </w:r>
      <w:proofErr w:type="gramEnd"/>
      <w:r w:rsidRPr="00D55078">
        <w:t xml:space="preserve"> or controlled the weapon on __________ [the date alleged in the indictment]; and third, [</w:t>
      </w:r>
      <w:r w:rsidRPr="00D55078">
        <w:rPr>
          <w:b/>
          <w:bCs/>
        </w:rPr>
        <w:t>choose the appropriate phrase</w:t>
      </w:r>
      <w:r w:rsidRPr="00D55078">
        <w:t>:</w:t>
      </w:r>
      <w:r w:rsidR="000F12DD" w:rsidRPr="00D55078">
        <w:t xml:space="preserve">] </w:t>
      </w:r>
    </w:p>
    <w:p w14:paraId="665DA1BB" w14:textId="68CBAF7F" w:rsidR="000F12DD" w:rsidRPr="00D55078" w:rsidRDefault="000F12DD" w:rsidP="001625A5">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0"/>
      </w:pPr>
      <w:r w:rsidRPr="00D55078">
        <w:t>[</w:t>
      </w:r>
      <w:r w:rsidR="00CF5BF1" w:rsidRPr="00D55078">
        <w:t xml:space="preserve">that defendant is a person who previously has been convicted of [a certain enumerated crime named in the statute] </w:t>
      </w:r>
      <w:r w:rsidRPr="00D55078">
        <w:t>[</w:t>
      </w:r>
      <w:r w:rsidRPr="00D55078">
        <w:rPr>
          <w:b/>
          <w:bCs/>
        </w:rPr>
        <w:t>or</w:t>
      </w:r>
      <w:r w:rsidRPr="00D55078">
        <w:t>]</w:t>
      </w:r>
      <w:r w:rsidR="00CF5BF1" w:rsidRPr="00D55078">
        <w:t xml:space="preserve"> [of the predicate offense]</w:t>
      </w:r>
      <w:r w:rsidR="001625A5" w:rsidRPr="00D55078">
        <w:t>]</w:t>
      </w:r>
      <w:r w:rsidRPr="00D55078">
        <w:t xml:space="preserve">. </w:t>
      </w:r>
    </w:p>
    <w:p w14:paraId="294A006C" w14:textId="571C409C" w:rsidR="000F12DD"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0"/>
        <w:jc w:val="center"/>
        <w:rPr>
          <w:b/>
          <w:bCs/>
        </w:rPr>
      </w:pPr>
      <w:r w:rsidRPr="00D55078">
        <w:rPr>
          <w:b/>
          <w:bCs/>
        </w:rPr>
        <w:t>[</w:t>
      </w:r>
      <w:r w:rsidR="000F12DD" w:rsidRPr="00D55078">
        <w:rPr>
          <w:b/>
          <w:bCs/>
        </w:rPr>
        <w:t>OR</w:t>
      </w:r>
      <w:r w:rsidRPr="00D55078">
        <w:rPr>
          <w:b/>
          <w:bCs/>
        </w:rPr>
        <w:t>]</w:t>
      </w:r>
    </w:p>
    <w:p w14:paraId="6330FF33" w14:textId="31126218" w:rsidR="00CF5BF1" w:rsidRPr="00D55078" w:rsidRDefault="000F12DD"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ind w:firstLine="0"/>
      </w:pPr>
      <w:r w:rsidRPr="00D55078">
        <w:rPr>
          <w:b/>
          <w:bCs/>
        </w:rPr>
        <w:t>[</w:t>
      </w:r>
      <w:r w:rsidR="00CF5BF1" w:rsidRPr="00D55078">
        <w:t xml:space="preserve">that defendant is a person who previously has been committed for a mental disorder to any hospital, mental institution or sanitarium and does not possess a certificate of a medical doctor or </w:t>
      </w:r>
      <w:r w:rsidR="00CF5BF1" w:rsidRPr="00D55078">
        <w:lastRenderedPageBreak/>
        <w:t xml:space="preserve">psychiatrist licensed to practice in New Jersey or other satisfactory proof that </w:t>
      </w:r>
      <w:r w:rsidR="00CF5BF1" w:rsidRPr="00D55078">
        <w:rPr>
          <w:highlight w:val="white"/>
        </w:rPr>
        <w:t>he</w:t>
      </w:r>
      <w:r w:rsidR="00CF5BF1" w:rsidRPr="00D55078">
        <w:t xml:space="preserve"> is no longer suffering from a mental disorder whic</w:t>
      </w:r>
      <w:bookmarkStart w:id="3" w:name="Text10"/>
      <w:r w:rsidR="00CF5BF1" w:rsidRPr="00D55078">
        <w:t xml:space="preserve">h interferes with or handicaps </w:t>
      </w:r>
      <w:r w:rsidR="00CF5BF1" w:rsidRPr="00D55078">
        <w:rPr>
          <w:highlight w:val="white"/>
        </w:rPr>
        <w:t>him</w:t>
      </w:r>
      <w:bookmarkEnd w:id="3"/>
      <w:r w:rsidR="00CF5BF1" w:rsidRPr="00D55078">
        <w:t xml:space="preserve"> in the handling of a firearm.</w:t>
      </w:r>
      <w:r w:rsidRPr="00D55078">
        <w:t>]</w:t>
      </w:r>
    </w:p>
    <w:p w14:paraId="69BB3213" w14:textId="77777777" w:rsidR="00CF5BF1" w:rsidRPr="00D55078" w:rsidRDefault="00CF5BF1" w:rsidP="000F12DD">
      <w:pPr>
        <w:pStyle w:val="BodyTextIndent"/>
        <w:keepLines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360" w:lineRule="auto"/>
        <w:rPr>
          <w:rFonts w:eastAsia="Times New Roman"/>
        </w:rPr>
      </w:pPr>
      <w:r w:rsidRPr="00D55078">
        <w:t>If you find that the State has proven beyond a reasonable doubt each of these elements, then you must find the defendant guilty.  On the other hand, if you find that the State has failed to prove any of these elements beyond a reasonable doubt, then you must find the defendant not guilty.</w:t>
      </w:r>
    </w:p>
    <w:sectPr w:rsidR="00CF5BF1" w:rsidRPr="00D55078" w:rsidSect="00CF5BF1">
      <w:headerReference w:type="default" r:id="rId7"/>
      <w:footerReference w:type="default" r:id="rId8"/>
      <w:headerReference w:type="first" r:id="rId9"/>
      <w:footerReference w:type="first" r:id="rId10"/>
      <w:pgSz w:w="12240" w:h="15840" w:code="1"/>
      <w:pgMar w:top="720" w:right="1440" w:bottom="576" w:left="1440" w:header="63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6F72" w14:textId="77777777" w:rsidR="00244E4A" w:rsidRDefault="00244E4A">
      <w:r>
        <w:separator/>
      </w:r>
    </w:p>
  </w:endnote>
  <w:endnote w:type="continuationSeparator" w:id="0">
    <w:p w14:paraId="7F1FFD62" w14:textId="77777777" w:rsidR="00244E4A" w:rsidRDefault="0024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BF1C" w14:textId="77777777" w:rsidR="00CF5BF1" w:rsidRPr="00C75312" w:rsidRDefault="00CF5BF1" w:rsidP="00CF5BF1">
    <w:pPr>
      <w:pStyle w:val="Footer1"/>
      <w:jc w:val="center"/>
      <w:rPr>
        <w:rFonts w:ascii="Times New Roman" w:hAnsi="Times New Roman"/>
        <w:sz w:val="22"/>
        <w:szCs w:val="22"/>
      </w:rPr>
    </w:pPr>
    <w:r w:rsidRPr="00C75312">
      <w:rPr>
        <w:rFonts w:ascii="Times New Roman" w:hAnsi="Times New Roman"/>
        <w:sz w:val="22"/>
        <w:szCs w:val="22"/>
      </w:rPr>
      <w:t xml:space="preserve">Page </w:t>
    </w:r>
    <w:r w:rsidRPr="00C75312">
      <w:rPr>
        <w:rFonts w:ascii="Times New Roman" w:hAnsi="Times New Roman"/>
        <w:sz w:val="22"/>
        <w:szCs w:val="22"/>
      </w:rPr>
      <w:fldChar w:fldCharType="begin"/>
    </w:r>
    <w:r w:rsidRPr="00C75312">
      <w:rPr>
        <w:rFonts w:ascii="Times New Roman" w:hAnsi="Times New Roman"/>
        <w:sz w:val="22"/>
        <w:szCs w:val="22"/>
      </w:rPr>
      <w:instrText xml:space="preserve"> PAGE </w:instrText>
    </w:r>
    <w:r w:rsidRPr="00C75312">
      <w:rPr>
        <w:rFonts w:ascii="Times New Roman" w:hAnsi="Times New Roman"/>
        <w:sz w:val="22"/>
        <w:szCs w:val="22"/>
      </w:rPr>
      <w:fldChar w:fldCharType="separate"/>
    </w:r>
    <w:r>
      <w:rPr>
        <w:rFonts w:ascii="Times New Roman" w:hAnsi="Times New Roman"/>
        <w:noProof/>
        <w:sz w:val="22"/>
        <w:szCs w:val="22"/>
      </w:rPr>
      <w:t>2</w:t>
    </w:r>
    <w:r w:rsidRPr="00C75312">
      <w:rPr>
        <w:rFonts w:ascii="Times New Roman" w:hAnsi="Times New Roman"/>
        <w:sz w:val="22"/>
        <w:szCs w:val="22"/>
      </w:rPr>
      <w:fldChar w:fldCharType="end"/>
    </w:r>
    <w:r w:rsidRPr="00C75312">
      <w:rPr>
        <w:rFonts w:ascii="Times New Roman" w:hAnsi="Times New Roman"/>
        <w:sz w:val="22"/>
        <w:szCs w:val="22"/>
      </w:rPr>
      <w:t xml:space="preserve"> of </w:t>
    </w:r>
    <w:r w:rsidRPr="00C75312">
      <w:rPr>
        <w:rFonts w:ascii="Times New Roman" w:hAnsi="Times New Roman"/>
        <w:sz w:val="22"/>
        <w:szCs w:val="22"/>
      </w:rPr>
      <w:fldChar w:fldCharType="begin"/>
    </w:r>
    <w:r w:rsidRPr="00C75312">
      <w:rPr>
        <w:rFonts w:ascii="Times New Roman" w:hAnsi="Times New Roman"/>
        <w:sz w:val="22"/>
        <w:szCs w:val="22"/>
      </w:rPr>
      <w:instrText xml:space="preserve"> NUMPAGES </w:instrText>
    </w:r>
    <w:r w:rsidRPr="00C75312">
      <w:rPr>
        <w:rFonts w:ascii="Times New Roman" w:hAnsi="Times New Roman"/>
        <w:sz w:val="22"/>
        <w:szCs w:val="22"/>
      </w:rPr>
      <w:fldChar w:fldCharType="separate"/>
    </w:r>
    <w:r>
      <w:rPr>
        <w:rFonts w:ascii="Times New Roman" w:hAnsi="Times New Roman"/>
        <w:noProof/>
        <w:sz w:val="22"/>
        <w:szCs w:val="22"/>
      </w:rPr>
      <w:t>6</w:t>
    </w:r>
    <w:r w:rsidRPr="00C75312">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6661" w14:textId="77777777" w:rsidR="00CF5BF1" w:rsidRPr="00C75312" w:rsidRDefault="00CF5BF1" w:rsidP="00CF5BF1">
    <w:pPr>
      <w:pStyle w:val="Footer1"/>
      <w:jc w:val="center"/>
      <w:rPr>
        <w:rFonts w:ascii="Times New Roman" w:hAnsi="Times New Roman"/>
        <w:sz w:val="22"/>
        <w:szCs w:val="22"/>
      </w:rPr>
    </w:pPr>
    <w:r w:rsidRPr="00C75312">
      <w:rPr>
        <w:rFonts w:ascii="Times New Roman" w:hAnsi="Times New Roman"/>
        <w:sz w:val="22"/>
        <w:szCs w:val="22"/>
      </w:rPr>
      <w:t xml:space="preserve">Page </w:t>
    </w:r>
    <w:r w:rsidRPr="00C75312">
      <w:rPr>
        <w:rFonts w:ascii="Times New Roman" w:hAnsi="Times New Roman"/>
        <w:sz w:val="22"/>
        <w:szCs w:val="22"/>
      </w:rPr>
      <w:fldChar w:fldCharType="begin"/>
    </w:r>
    <w:r w:rsidRPr="00C75312">
      <w:rPr>
        <w:rFonts w:ascii="Times New Roman" w:hAnsi="Times New Roman"/>
        <w:sz w:val="22"/>
        <w:szCs w:val="22"/>
      </w:rPr>
      <w:instrText xml:space="preserve"> PAGE </w:instrText>
    </w:r>
    <w:r w:rsidRPr="00C75312">
      <w:rPr>
        <w:rFonts w:ascii="Times New Roman" w:hAnsi="Times New Roman"/>
        <w:sz w:val="22"/>
        <w:szCs w:val="22"/>
      </w:rPr>
      <w:fldChar w:fldCharType="separate"/>
    </w:r>
    <w:r>
      <w:rPr>
        <w:rFonts w:ascii="Times New Roman" w:hAnsi="Times New Roman"/>
        <w:noProof/>
        <w:sz w:val="22"/>
        <w:szCs w:val="22"/>
      </w:rPr>
      <w:t>1</w:t>
    </w:r>
    <w:r w:rsidRPr="00C75312">
      <w:rPr>
        <w:rFonts w:ascii="Times New Roman" w:hAnsi="Times New Roman"/>
        <w:sz w:val="22"/>
        <w:szCs w:val="22"/>
      </w:rPr>
      <w:fldChar w:fldCharType="end"/>
    </w:r>
    <w:r w:rsidRPr="00C75312">
      <w:rPr>
        <w:rFonts w:ascii="Times New Roman" w:hAnsi="Times New Roman"/>
        <w:sz w:val="22"/>
        <w:szCs w:val="22"/>
      </w:rPr>
      <w:t xml:space="preserve"> of </w:t>
    </w:r>
    <w:r w:rsidRPr="00C75312">
      <w:rPr>
        <w:rFonts w:ascii="Times New Roman" w:hAnsi="Times New Roman"/>
        <w:sz w:val="22"/>
        <w:szCs w:val="22"/>
      </w:rPr>
      <w:fldChar w:fldCharType="begin"/>
    </w:r>
    <w:r w:rsidRPr="00C75312">
      <w:rPr>
        <w:rFonts w:ascii="Times New Roman" w:hAnsi="Times New Roman"/>
        <w:sz w:val="22"/>
        <w:szCs w:val="22"/>
      </w:rPr>
      <w:instrText xml:space="preserve"> NUMPAGES </w:instrText>
    </w:r>
    <w:r w:rsidRPr="00C75312">
      <w:rPr>
        <w:rFonts w:ascii="Times New Roman" w:hAnsi="Times New Roman"/>
        <w:sz w:val="22"/>
        <w:szCs w:val="22"/>
      </w:rPr>
      <w:fldChar w:fldCharType="separate"/>
    </w:r>
    <w:r>
      <w:rPr>
        <w:rFonts w:ascii="Times New Roman" w:hAnsi="Times New Roman"/>
        <w:noProof/>
        <w:sz w:val="22"/>
        <w:szCs w:val="22"/>
      </w:rPr>
      <w:t>6</w:t>
    </w:r>
    <w:r w:rsidRPr="00C75312">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FEFC" w14:textId="77777777" w:rsidR="00244E4A" w:rsidRDefault="00244E4A">
      <w:r>
        <w:separator/>
      </w:r>
    </w:p>
  </w:footnote>
  <w:footnote w:type="continuationSeparator" w:id="0">
    <w:p w14:paraId="1F4B2C17" w14:textId="77777777" w:rsidR="00244E4A" w:rsidRDefault="00244E4A">
      <w:r>
        <w:continuationSeparator/>
      </w:r>
    </w:p>
  </w:footnote>
  <w:footnote w:id="1">
    <w:p w14:paraId="527F6B5F"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This charge should be used when the indictment charges a </w:t>
      </w:r>
      <w:r w:rsidR="002316C2" w:rsidRPr="001924DA">
        <w:rPr>
          <w:rFonts w:ascii="Times New Roman" w:hAnsi="Times New Roman"/>
          <w:sz w:val="22"/>
          <w:szCs w:val="22"/>
        </w:rPr>
        <w:t>fourth-degree</w:t>
      </w:r>
      <w:r w:rsidRPr="001924DA">
        <w:rPr>
          <w:rFonts w:ascii="Times New Roman" w:hAnsi="Times New Roman"/>
          <w:sz w:val="22"/>
          <w:szCs w:val="22"/>
        </w:rPr>
        <w:t xml:space="preserve"> crime involving the possession of a prohibited weapon under N.J.S.A. 2C:39-7(a).</w:t>
      </w:r>
    </w:p>
  </w:footnote>
  <w:footnote w:id="2">
    <w:p w14:paraId="7D46F7BF" w14:textId="77777777" w:rsidR="00CF5BF1" w:rsidRPr="001924DA" w:rsidRDefault="00CF5BF1" w:rsidP="00AC4818">
      <w:pPr>
        <w:pStyle w:val="FootnoteText"/>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If defendant is stipulating to the predicate offense, do not read the crime listed in the Certain Persons count.</w:t>
      </w:r>
    </w:p>
  </w:footnote>
  <w:footnote w:id="3">
    <w:p w14:paraId="269B4B3B" w14:textId="77777777" w:rsidR="00CF5BF1" w:rsidRPr="001924DA" w:rsidRDefault="00CF5BF1" w:rsidP="00AC4818">
      <w:pPr>
        <w:pStyle w:val="Norm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State v. Ragland</w:t>
      </w:r>
      <w:r w:rsidRPr="001924DA">
        <w:rPr>
          <w:rFonts w:ascii="Times New Roman" w:hAnsi="Times New Roman"/>
          <w:sz w:val="22"/>
          <w:szCs w:val="22"/>
        </w:rPr>
        <w:t xml:space="preserve">, 105 N.J. 189, 195 (1986). </w:t>
      </w:r>
    </w:p>
  </w:footnote>
  <w:footnote w:id="4">
    <w:p w14:paraId="2EA1DF31" w14:textId="0D09D204" w:rsidR="00CF5BF1" w:rsidRPr="001924DA" w:rsidRDefault="00CF5BF1" w:rsidP="00AC4818">
      <w:pPr>
        <w:pStyle w:val="Normal0"/>
        <w:keepLines w:val="0"/>
        <w:jc w:val="both"/>
        <w:rPr>
          <w:rFonts w:ascii="Times New Roman" w:hAnsi="Times New Roman"/>
          <w:sz w:val="22"/>
          <w:szCs w:val="22"/>
          <w:u w:val="single"/>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The crimes set forth in the statute </w:t>
      </w:r>
      <w:r w:rsidR="00923B4F" w:rsidRPr="001924DA">
        <w:rPr>
          <w:rFonts w:ascii="Times New Roman" w:hAnsi="Times New Roman"/>
          <w:sz w:val="22"/>
          <w:szCs w:val="22"/>
        </w:rPr>
        <w:t xml:space="preserve">include </w:t>
      </w:r>
      <w:r w:rsidR="00DF14D8" w:rsidRPr="001924DA">
        <w:rPr>
          <w:rFonts w:ascii="Times New Roman" w:hAnsi="Times New Roman"/>
          <w:sz w:val="22"/>
          <w:szCs w:val="22"/>
        </w:rPr>
        <w:t xml:space="preserve">the commission or </w:t>
      </w:r>
      <w:r w:rsidR="00923B4F" w:rsidRPr="001924DA">
        <w:rPr>
          <w:rFonts w:ascii="Times New Roman" w:hAnsi="Times New Roman"/>
          <w:sz w:val="22"/>
          <w:szCs w:val="22"/>
        </w:rPr>
        <w:t>an attempt or conspiracy to commit</w:t>
      </w:r>
      <w:r w:rsidRPr="001924DA">
        <w:rPr>
          <w:rFonts w:ascii="Times New Roman" w:hAnsi="Times New Roman"/>
          <w:sz w:val="22"/>
          <w:szCs w:val="22"/>
        </w:rPr>
        <w:t xml:space="preserve"> aggravated assault, arson, burglary, escape, extortion, homicide, kidnapping, robbery, aggravated sexual assault, sexual assault, bias intimidation in violation of N.J.S.A. 2C:16-1, </w:t>
      </w:r>
      <w:r w:rsidR="00E47E58" w:rsidRPr="001924DA">
        <w:rPr>
          <w:rFonts w:ascii="Times New Roman" w:hAnsi="Times New Roman"/>
          <w:sz w:val="22"/>
          <w:szCs w:val="22"/>
        </w:rPr>
        <w:t>carjacking in violation N.J.S.A. 2C:15-2, gang criminality in violation of N.J.S.A. 2C:33-29, racketeering in violation of N.J.SA. 2C:41-2, terroristic threats in violation of N.J.S.A. 2C:12-3, unlawful possession of a machine gun in violation of subsection a. of N.J.S.A. 2C:39-5, unlawful possession of a handgun in violation of paragraph (1) of subsection b. of N.J.S.A. 2C:39-5, unlawful possession of an assault firearm in violation of subsection f. of N.J.S.A. 2C:39-5, leader of a firearms trafficking network in violation of N.J.S.A. 2C:3</w:t>
      </w:r>
      <w:r w:rsidR="00923B4F" w:rsidRPr="001924DA">
        <w:rPr>
          <w:rFonts w:ascii="Times New Roman" w:hAnsi="Times New Roman"/>
          <w:sz w:val="22"/>
          <w:szCs w:val="22"/>
        </w:rPr>
        <w:t>9-16, or</w:t>
      </w:r>
      <w:r w:rsidR="00E47E58" w:rsidRPr="001924DA">
        <w:rPr>
          <w:rFonts w:ascii="Times New Roman" w:hAnsi="Times New Roman"/>
          <w:sz w:val="22"/>
          <w:szCs w:val="22"/>
        </w:rPr>
        <w:t xml:space="preserve"> </w:t>
      </w:r>
      <w:r w:rsidRPr="001924DA">
        <w:rPr>
          <w:rFonts w:ascii="Times New Roman" w:hAnsi="Times New Roman"/>
          <w:sz w:val="22"/>
          <w:szCs w:val="22"/>
        </w:rPr>
        <w:t xml:space="preserve">endangering the welfare of a child pursuant to N.J.S.A. 2C:24-4, whether or not armed with or </w:t>
      </w:r>
      <w:r w:rsidR="00EE7F44" w:rsidRPr="001924DA">
        <w:rPr>
          <w:rFonts w:ascii="Times New Roman" w:hAnsi="Times New Roman"/>
          <w:sz w:val="22"/>
          <w:szCs w:val="22"/>
        </w:rPr>
        <w:t xml:space="preserve">possessing </w:t>
      </w:r>
      <w:r w:rsidRPr="001924DA">
        <w:rPr>
          <w:rFonts w:ascii="Times New Roman" w:hAnsi="Times New Roman"/>
          <w:sz w:val="22"/>
          <w:szCs w:val="22"/>
        </w:rPr>
        <w:t>a</w:t>
      </w:r>
      <w:r w:rsidR="00923B4F" w:rsidRPr="001924DA">
        <w:rPr>
          <w:rFonts w:ascii="Times New Roman" w:hAnsi="Times New Roman"/>
          <w:sz w:val="22"/>
          <w:szCs w:val="22"/>
        </w:rPr>
        <w:t>ny</w:t>
      </w:r>
      <w:r w:rsidRPr="001924DA">
        <w:rPr>
          <w:rFonts w:ascii="Times New Roman" w:hAnsi="Times New Roman"/>
          <w:sz w:val="22"/>
          <w:szCs w:val="22"/>
        </w:rPr>
        <w:t xml:space="preserve"> weapon enumerated in subsection r. of N.J.S.A. 2C:39-1, </w:t>
      </w:r>
      <w:r w:rsidR="00923B4F" w:rsidRPr="001924DA">
        <w:rPr>
          <w:rFonts w:ascii="Times New Roman" w:hAnsi="Times New Roman"/>
          <w:sz w:val="22"/>
          <w:szCs w:val="22"/>
        </w:rPr>
        <w:t xml:space="preserve">or </w:t>
      </w:r>
      <w:r w:rsidR="00DF14D8" w:rsidRPr="001924DA">
        <w:rPr>
          <w:rFonts w:ascii="Times New Roman" w:hAnsi="Times New Roman"/>
          <w:sz w:val="22"/>
          <w:szCs w:val="22"/>
        </w:rPr>
        <w:t>the commission</w:t>
      </w:r>
      <w:r w:rsidR="00923B4F" w:rsidRPr="001924DA">
        <w:rPr>
          <w:rFonts w:ascii="Times New Roman" w:hAnsi="Times New Roman"/>
          <w:sz w:val="22"/>
          <w:szCs w:val="22"/>
        </w:rPr>
        <w:t xml:space="preserve"> or an attempt or </w:t>
      </w:r>
      <w:r w:rsidR="00DF14D8" w:rsidRPr="001924DA">
        <w:rPr>
          <w:rFonts w:ascii="Times New Roman" w:hAnsi="Times New Roman"/>
          <w:sz w:val="22"/>
          <w:szCs w:val="22"/>
        </w:rPr>
        <w:t>conspiracy to commit</w:t>
      </w:r>
      <w:r w:rsidR="00923B4F" w:rsidRPr="001924DA">
        <w:rPr>
          <w:rFonts w:ascii="Times New Roman" w:hAnsi="Times New Roman"/>
          <w:sz w:val="22"/>
          <w:szCs w:val="22"/>
        </w:rPr>
        <w:t xml:space="preserve"> </w:t>
      </w:r>
      <w:r w:rsidRPr="001924DA">
        <w:rPr>
          <w:rFonts w:ascii="Times New Roman" w:hAnsi="Times New Roman"/>
          <w:sz w:val="22"/>
          <w:szCs w:val="22"/>
        </w:rPr>
        <w:t xml:space="preserve">possession of a prohibited weapon, N.J.S.A. 2C:39-3, possession of a weapon for an unlawful purpose, N.J.S.A. 2C:39-4, or manufacturing, transporting, disposition or defacement of weapons, dangerous instruments and appliances, N.J.S.A. 2C:39-9, or any person convicted of other than a disorderly persons or petty disorderly persons offense for the unlawful use, possession or sale of a controlled dangerous substance as defined in N.J.S.A. 2C:35-2.  When a defendant does not stipulate to a predicate offense under the certain persons statute, the State shall produce evidence of the predicate offense: the judgment of conviction with the unredacted nature of the offense, the degree of offense, and the date of conviction.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State v. Bailey</w:t>
      </w:r>
      <w:r w:rsidRPr="001924DA">
        <w:rPr>
          <w:rFonts w:ascii="Times New Roman" w:hAnsi="Times New Roman"/>
          <w:sz w:val="22"/>
          <w:szCs w:val="22"/>
        </w:rPr>
        <w:t>, 231 N.J. 474 (2018).</w:t>
      </w:r>
    </w:p>
  </w:footnote>
  <w:footnote w:id="5">
    <w:p w14:paraId="12FC1C97"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State v. Brown</w:t>
      </w:r>
      <w:r w:rsidRPr="001924DA">
        <w:rPr>
          <w:rFonts w:ascii="Times New Roman" w:hAnsi="Times New Roman"/>
          <w:sz w:val="22"/>
          <w:szCs w:val="22"/>
        </w:rPr>
        <w:t xml:space="preserve">, 180 N.J. 572, 585 (2004) (if defendant stipulates to the offense, the jury must be instructed only that defendant was convicted of a predicate offense.) Defendant’s stipulation must be a knowing and voluntary waiver of rights, placed on the record in defendant’s presence; the prosecution is limited to announcing to the jury that the defendant has committed an offense that satisfies the statutory predicate-offense element.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Bailey</w:t>
      </w:r>
      <w:r w:rsidRPr="001924DA">
        <w:rPr>
          <w:rFonts w:ascii="Times New Roman" w:hAnsi="Times New Roman"/>
          <w:sz w:val="22"/>
          <w:szCs w:val="22"/>
        </w:rPr>
        <w:t xml:space="preserve">, </w:t>
      </w:r>
      <w:r w:rsidRPr="001924DA">
        <w:rPr>
          <w:rFonts w:ascii="Times New Roman" w:hAnsi="Times New Roman"/>
          <w:sz w:val="22"/>
          <w:szCs w:val="22"/>
          <w:u w:val="single"/>
        </w:rPr>
        <w:t>supra</w:t>
      </w:r>
      <w:r w:rsidRPr="001924DA">
        <w:rPr>
          <w:rFonts w:ascii="Times New Roman" w:hAnsi="Times New Roman"/>
          <w:sz w:val="22"/>
          <w:szCs w:val="22"/>
        </w:rPr>
        <w:t xml:space="preserve">; </w:t>
      </w:r>
      <w:r w:rsidR="009A6B21" w:rsidRPr="001924DA">
        <w:rPr>
          <w:rFonts w:ascii="Times New Roman" w:hAnsi="Times New Roman"/>
          <w:sz w:val="22"/>
          <w:szCs w:val="22"/>
          <w:u w:val="single"/>
        </w:rPr>
        <w:t>see</w:t>
      </w:r>
      <w:r w:rsidRPr="001924DA">
        <w:rPr>
          <w:rFonts w:ascii="Times New Roman" w:hAnsi="Times New Roman"/>
          <w:sz w:val="22"/>
          <w:szCs w:val="22"/>
          <w:u w:val="single"/>
        </w:rPr>
        <w:t xml:space="preserve"> also</w:t>
      </w:r>
      <w:r w:rsidRPr="001924DA">
        <w:rPr>
          <w:rFonts w:ascii="Times New Roman" w:hAnsi="Times New Roman"/>
          <w:b/>
          <w:bCs/>
          <w:sz w:val="22"/>
          <w:szCs w:val="22"/>
        </w:rPr>
        <w:t xml:space="preserve"> </w:t>
      </w:r>
      <w:r w:rsidRPr="001924DA">
        <w:rPr>
          <w:rFonts w:ascii="Times New Roman" w:hAnsi="Times New Roman"/>
          <w:sz w:val="22"/>
          <w:szCs w:val="22"/>
          <w:u w:val="single"/>
        </w:rPr>
        <w:t>State v. Alvarez</w:t>
      </w:r>
      <w:r w:rsidRPr="001924DA">
        <w:rPr>
          <w:rFonts w:ascii="Times New Roman" w:hAnsi="Times New Roman"/>
          <w:sz w:val="22"/>
          <w:szCs w:val="22"/>
        </w:rPr>
        <w:t xml:space="preserve">, 318 N.J. Super. 137, 150-54 (App. Div. 1999) (defendant’s offer to stipulate that his or her prior convictions meet the status element of N.J.S.A. 2C:39-7 must be granted).  </w:t>
      </w:r>
      <w:r w:rsidRPr="001924DA">
        <w:rPr>
          <w:rFonts w:ascii="Times New Roman" w:hAnsi="Times New Roman"/>
          <w:sz w:val="22"/>
          <w:szCs w:val="22"/>
          <w:u w:val="single"/>
        </w:rPr>
        <w:t>Accord</w:t>
      </w:r>
      <w:r w:rsidRPr="001924DA">
        <w:rPr>
          <w:rFonts w:ascii="Times New Roman" w:hAnsi="Times New Roman"/>
          <w:sz w:val="22"/>
          <w:szCs w:val="22"/>
        </w:rPr>
        <w:t xml:space="preserve"> </w:t>
      </w:r>
      <w:r w:rsidRPr="001924DA">
        <w:rPr>
          <w:rFonts w:ascii="Times New Roman" w:hAnsi="Times New Roman"/>
          <w:sz w:val="22"/>
          <w:szCs w:val="22"/>
          <w:u w:val="single"/>
        </w:rPr>
        <w:t>State v. Harvey</w:t>
      </w:r>
      <w:r w:rsidRPr="001924DA">
        <w:rPr>
          <w:rFonts w:ascii="Times New Roman" w:hAnsi="Times New Roman"/>
          <w:sz w:val="22"/>
          <w:szCs w:val="22"/>
        </w:rPr>
        <w:t>, 318 N.J. Super. 167, 173 (App. Div. 1999).</w:t>
      </w:r>
    </w:p>
  </w:footnote>
  <w:footnote w:id="6">
    <w:p w14:paraId="6CE192C3"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N.J.S.A. 2C:39-1(r).  See remainder of N.J.S.A. 2C:39-1(r) for a more detailed definition of the term “weapon.”</w:t>
      </w:r>
    </w:p>
  </w:footnote>
  <w:footnote w:id="7">
    <w:p w14:paraId="24C82EBD"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State v. Jones</w:t>
      </w:r>
      <w:r w:rsidRPr="001924DA">
        <w:rPr>
          <w:rFonts w:ascii="Times New Roman" w:hAnsi="Times New Roman"/>
          <w:sz w:val="22"/>
          <w:szCs w:val="22"/>
        </w:rPr>
        <w:t>, 198 N.J. Super. 553, 564-65 (App. Div. 1985).</w:t>
      </w:r>
    </w:p>
  </w:footnote>
  <w:footnote w:id="8">
    <w:p w14:paraId="2EB5D1B7"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N.J.S.A. 2C:2-2(c)(3) applies the culpable state of mind of knowingly</w:t>
      </w:r>
      <w:r w:rsidR="009A6B21" w:rsidRPr="001924DA">
        <w:rPr>
          <w:rFonts w:ascii="Times New Roman" w:hAnsi="Times New Roman"/>
          <w:sz w:val="22"/>
          <w:szCs w:val="22"/>
        </w:rPr>
        <w:t>,</w:t>
      </w:r>
      <w:r w:rsidRPr="001924DA">
        <w:rPr>
          <w:rFonts w:ascii="Times New Roman" w:hAnsi="Times New Roman"/>
          <w:sz w:val="22"/>
          <w:szCs w:val="22"/>
        </w:rPr>
        <w:t xml:space="preserve"> pursuant to N.J.S.A. 2C:2-2(b)(2)</w:t>
      </w:r>
      <w:r w:rsidR="009A6B21" w:rsidRPr="001924DA">
        <w:rPr>
          <w:rFonts w:ascii="Times New Roman" w:hAnsi="Times New Roman"/>
          <w:sz w:val="22"/>
          <w:szCs w:val="22"/>
        </w:rPr>
        <w:t>,</w:t>
      </w:r>
      <w:r w:rsidRPr="001924DA">
        <w:rPr>
          <w:rFonts w:ascii="Times New Roman" w:hAnsi="Times New Roman"/>
          <w:sz w:val="22"/>
          <w:szCs w:val="22"/>
        </w:rPr>
        <w:t xml:space="preserve"> to this statutory crime.</w:t>
      </w:r>
    </w:p>
  </w:footnote>
  <w:footnote w:id="9">
    <w:p w14:paraId="103B3725"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N.J.S.A. 2C:2-1. Additionally, charge any applicable and appropriate statutory inferences.  For example, </w:t>
      </w:r>
      <w:r w:rsidRPr="001924DA">
        <w:rPr>
          <w:rFonts w:ascii="Times New Roman" w:hAnsi="Times New Roman"/>
          <w:sz w:val="22"/>
          <w:szCs w:val="22"/>
          <w:u w:val="single"/>
        </w:rPr>
        <w:t>see</w:t>
      </w:r>
      <w:r w:rsidRPr="001924DA">
        <w:rPr>
          <w:rFonts w:ascii="Times New Roman" w:hAnsi="Times New Roman"/>
          <w:sz w:val="22"/>
          <w:szCs w:val="22"/>
        </w:rPr>
        <w:t xml:space="preserve"> N.J.S.A. 2C:39-2</w:t>
      </w:r>
      <w:r w:rsidR="009A6B21" w:rsidRPr="001924DA">
        <w:rPr>
          <w:rFonts w:ascii="Times New Roman" w:hAnsi="Times New Roman"/>
          <w:sz w:val="22"/>
          <w:szCs w:val="22"/>
        </w:rPr>
        <w:t>,</w:t>
      </w:r>
      <w:r w:rsidRPr="001924DA">
        <w:rPr>
          <w:rFonts w:ascii="Times New Roman" w:hAnsi="Times New Roman"/>
          <w:sz w:val="22"/>
          <w:szCs w:val="22"/>
        </w:rPr>
        <w:t xml:space="preserve"> which creates certain statutory inferences when a weapon is found in a motor vehicle.  </w:t>
      </w:r>
      <w:r w:rsidRPr="001924DA">
        <w:rPr>
          <w:rFonts w:ascii="Times New Roman" w:hAnsi="Times New Roman"/>
          <w:sz w:val="22"/>
          <w:szCs w:val="22"/>
          <w:u w:val="single"/>
        </w:rPr>
        <w:t>See also</w:t>
      </w:r>
      <w:r w:rsidRPr="001924DA">
        <w:rPr>
          <w:rFonts w:ascii="Times New Roman" w:hAnsi="Times New Roman"/>
          <w:sz w:val="22"/>
          <w:szCs w:val="22"/>
        </w:rPr>
        <w:t>, N.J.R.E. 303.</w:t>
      </w:r>
    </w:p>
  </w:footnote>
  <w:footnote w:id="10">
    <w:p w14:paraId="4ABF3BDD"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In </w:t>
      </w:r>
      <w:r w:rsidRPr="001924DA">
        <w:rPr>
          <w:rFonts w:ascii="Times New Roman" w:hAnsi="Times New Roman"/>
          <w:sz w:val="22"/>
          <w:szCs w:val="22"/>
          <w:u w:val="single"/>
        </w:rPr>
        <w:t>State v. Spivey</w:t>
      </w:r>
      <w:r w:rsidRPr="001924DA">
        <w:rPr>
          <w:rFonts w:ascii="Times New Roman" w:hAnsi="Times New Roman"/>
          <w:sz w:val="22"/>
          <w:szCs w:val="22"/>
        </w:rPr>
        <w:t>, 179 N.J. 229 (2004), the Supreme Court affirmed a conviction under N.J.S.A. 2C:39-4.1(a), possession of a firearm while committing certain drug offenses, and noted that the statute suggested a temporal and spatial link between possession of the firearm and the drugs. The Court ruled that the evidence “must permit the jury to infer that the firearm was accessible for use in the commission of the [drug] crime.”  In the appropriate case, the possession charge may be supplemented by this language.</w:t>
      </w:r>
    </w:p>
  </w:footnote>
  <w:footnote w:id="11">
    <w:p w14:paraId="25687AAF" w14:textId="77777777" w:rsidR="00401AAE" w:rsidRPr="001924DA" w:rsidRDefault="00401AAE" w:rsidP="00AC4818">
      <w:pPr>
        <w:pStyle w:val="FootnoteText"/>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State v. Randolph</w:t>
      </w:r>
      <w:r w:rsidRPr="001924DA">
        <w:rPr>
          <w:rFonts w:ascii="Times New Roman" w:hAnsi="Times New Roman"/>
          <w:sz w:val="22"/>
          <w:szCs w:val="22"/>
        </w:rPr>
        <w:t>, 228 N.J. 566, 590-93 (2017).</w:t>
      </w:r>
    </w:p>
  </w:footnote>
  <w:footnote w:id="12">
    <w:p w14:paraId="3437468B" w14:textId="77777777" w:rsidR="00401AAE" w:rsidRPr="001924DA" w:rsidRDefault="00401AAE" w:rsidP="00AC4818">
      <w:pPr>
        <w:pStyle w:val="FootnoteText"/>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State v. Jackson</w:t>
      </w:r>
      <w:r w:rsidRPr="001924DA">
        <w:rPr>
          <w:rFonts w:ascii="Times New Roman" w:hAnsi="Times New Roman"/>
          <w:sz w:val="22"/>
          <w:szCs w:val="22"/>
        </w:rPr>
        <w:t xml:space="preserve">, 326 N.J. Super. 276, 280 (App. Div. 1999);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State v. Brown</w:t>
      </w:r>
      <w:r w:rsidRPr="001924DA">
        <w:rPr>
          <w:rFonts w:ascii="Times New Roman" w:hAnsi="Times New Roman"/>
          <w:sz w:val="22"/>
          <w:szCs w:val="22"/>
        </w:rPr>
        <w:t xml:space="preserve">, 80 N.J. 587, 593 (1979) and </w:t>
      </w:r>
      <w:r w:rsidRPr="001924DA">
        <w:rPr>
          <w:rFonts w:ascii="Times New Roman" w:hAnsi="Times New Roman"/>
          <w:sz w:val="22"/>
          <w:szCs w:val="22"/>
          <w:u w:val="single"/>
        </w:rPr>
        <w:t>State v. Sapp</w:t>
      </w:r>
      <w:r w:rsidRPr="001924DA">
        <w:rPr>
          <w:rFonts w:ascii="Times New Roman" w:hAnsi="Times New Roman"/>
          <w:sz w:val="22"/>
          <w:szCs w:val="22"/>
        </w:rPr>
        <w:t xml:space="preserve">, 71 N.J. 476 (1976), </w:t>
      </w:r>
      <w:proofErr w:type="spellStart"/>
      <w:r w:rsidRPr="001924DA">
        <w:rPr>
          <w:rFonts w:ascii="Times New Roman" w:hAnsi="Times New Roman"/>
          <w:sz w:val="22"/>
          <w:szCs w:val="22"/>
          <w:u w:val="single"/>
        </w:rPr>
        <w:t>rev’g</w:t>
      </w:r>
      <w:proofErr w:type="spellEnd"/>
      <w:r w:rsidRPr="001924DA">
        <w:rPr>
          <w:rFonts w:ascii="Times New Roman" w:hAnsi="Times New Roman"/>
          <w:sz w:val="22"/>
          <w:szCs w:val="22"/>
          <w:u w:val="single"/>
        </w:rPr>
        <w:t xml:space="preserve"> on dissent</w:t>
      </w:r>
      <w:r w:rsidRPr="001924DA">
        <w:rPr>
          <w:rFonts w:ascii="Times New Roman" w:hAnsi="Times New Roman"/>
          <w:sz w:val="22"/>
          <w:szCs w:val="22"/>
        </w:rPr>
        <w:t xml:space="preserve"> 144 N.J. Super. 455, 460 (1975).  </w:t>
      </w:r>
    </w:p>
  </w:footnote>
  <w:footnote w:id="13">
    <w:p w14:paraId="479A1A76" w14:textId="77777777" w:rsidR="00401AAE" w:rsidRPr="001924DA" w:rsidRDefault="00401AAE" w:rsidP="00AC4818">
      <w:pPr>
        <w:pStyle w:val="FootnoteText"/>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State v. Randolph</w:t>
      </w:r>
      <w:r w:rsidRPr="001924DA">
        <w:rPr>
          <w:rFonts w:ascii="Times New Roman" w:hAnsi="Times New Roman"/>
          <w:sz w:val="22"/>
          <w:szCs w:val="22"/>
        </w:rPr>
        <w:t xml:space="preserve">, </w:t>
      </w:r>
      <w:r w:rsidRPr="001924DA">
        <w:rPr>
          <w:rFonts w:ascii="Times New Roman" w:hAnsi="Times New Roman"/>
          <w:sz w:val="22"/>
          <w:szCs w:val="22"/>
          <w:u w:val="single"/>
        </w:rPr>
        <w:t>supra</w:t>
      </w:r>
      <w:r w:rsidRPr="001924DA">
        <w:rPr>
          <w:rFonts w:ascii="Times New Roman" w:hAnsi="Times New Roman"/>
          <w:sz w:val="22"/>
          <w:szCs w:val="22"/>
        </w:rPr>
        <w:t xml:space="preserve">, 228 N.J. at 590-93, citing </w:t>
      </w:r>
      <w:r w:rsidRPr="001924DA">
        <w:rPr>
          <w:rFonts w:ascii="Times New Roman" w:hAnsi="Times New Roman"/>
          <w:sz w:val="22"/>
          <w:szCs w:val="22"/>
          <w:u w:val="single"/>
        </w:rPr>
        <w:t>State v. Palacio</w:t>
      </w:r>
      <w:r w:rsidRPr="001924DA">
        <w:rPr>
          <w:rFonts w:ascii="Times New Roman" w:hAnsi="Times New Roman"/>
          <w:sz w:val="22"/>
          <w:szCs w:val="22"/>
        </w:rPr>
        <w:t xml:space="preserve">, 111 N.J. 543, 549-54 (1988) and </w:t>
      </w:r>
      <w:r w:rsidRPr="001924DA">
        <w:rPr>
          <w:rFonts w:ascii="Times New Roman" w:hAnsi="Times New Roman"/>
          <w:sz w:val="22"/>
          <w:szCs w:val="22"/>
          <w:u w:val="single"/>
        </w:rPr>
        <w:t>State v. Shipp</w:t>
      </w:r>
      <w:r w:rsidRPr="001924DA">
        <w:rPr>
          <w:rFonts w:ascii="Times New Roman" w:hAnsi="Times New Roman"/>
          <w:sz w:val="22"/>
          <w:szCs w:val="22"/>
        </w:rPr>
        <w:t xml:space="preserve">, 216 N.J. Super. 662, 664-66 (App. Div. 1987).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Palacio</w:t>
      </w:r>
      <w:r w:rsidRPr="001924DA">
        <w:rPr>
          <w:rFonts w:ascii="Times New Roman" w:hAnsi="Times New Roman"/>
          <w:sz w:val="22"/>
          <w:szCs w:val="22"/>
        </w:rPr>
        <w:t xml:space="preserve">, </w:t>
      </w:r>
      <w:r w:rsidRPr="001924DA">
        <w:rPr>
          <w:rFonts w:ascii="Times New Roman" w:hAnsi="Times New Roman"/>
          <w:sz w:val="22"/>
          <w:szCs w:val="22"/>
          <w:u w:val="single"/>
        </w:rPr>
        <w:t>Shipp</w:t>
      </w:r>
      <w:r w:rsidRPr="001924DA">
        <w:rPr>
          <w:rFonts w:ascii="Times New Roman" w:hAnsi="Times New Roman"/>
          <w:sz w:val="22"/>
          <w:szCs w:val="22"/>
        </w:rPr>
        <w:t xml:space="preserve">, and </w:t>
      </w:r>
      <w:r w:rsidRPr="001924DA">
        <w:rPr>
          <w:rFonts w:ascii="Times New Roman" w:hAnsi="Times New Roman"/>
          <w:sz w:val="22"/>
          <w:szCs w:val="22"/>
          <w:u w:val="single"/>
        </w:rPr>
        <w:t>State v. Montesano</w:t>
      </w:r>
      <w:r w:rsidRPr="001924DA">
        <w:rPr>
          <w:rFonts w:ascii="Times New Roman" w:hAnsi="Times New Roman"/>
          <w:sz w:val="22"/>
          <w:szCs w:val="22"/>
        </w:rPr>
        <w:t xml:space="preserve">, 298 N.J. Super. 597, 615 (App. Div. 1997), </w:t>
      </w:r>
      <w:r w:rsidRPr="001924DA">
        <w:rPr>
          <w:rFonts w:ascii="Times New Roman" w:hAnsi="Times New Roman"/>
          <w:sz w:val="22"/>
          <w:szCs w:val="22"/>
          <w:u w:val="single"/>
        </w:rPr>
        <w:t>certif. denied</w:t>
      </w:r>
      <w:r w:rsidRPr="001924DA">
        <w:rPr>
          <w:rFonts w:ascii="Times New Roman" w:hAnsi="Times New Roman"/>
          <w:sz w:val="22"/>
          <w:szCs w:val="22"/>
        </w:rPr>
        <w:t xml:space="preserve"> 150 N.J. 27 (1997), for circumstances more specifically related to presence in or near an automobile in which drugs are found.</w:t>
      </w:r>
    </w:p>
  </w:footnote>
  <w:footnote w:id="14">
    <w:p w14:paraId="7DF60425" w14:textId="77777777" w:rsidR="00401AAE" w:rsidRPr="001924DA" w:rsidRDefault="00401AAE" w:rsidP="00AC4818">
      <w:pPr>
        <w:pStyle w:val="FootnoteText"/>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vertAlign w:val="superscript"/>
        </w:rPr>
        <w:t xml:space="preserve"> </w:t>
      </w:r>
      <w:r w:rsidRPr="001924DA">
        <w:rPr>
          <w:rFonts w:ascii="Times New Roman" w:hAnsi="Times New Roman"/>
          <w:sz w:val="22"/>
          <w:szCs w:val="22"/>
          <w:u w:val="single"/>
        </w:rPr>
        <w:t>State v. Whyte</w:t>
      </w:r>
      <w:r w:rsidRPr="001924DA">
        <w:rPr>
          <w:rFonts w:ascii="Times New Roman" w:hAnsi="Times New Roman"/>
          <w:sz w:val="22"/>
          <w:szCs w:val="22"/>
        </w:rPr>
        <w:t xml:space="preserve">, 265 N.J. Super. 518, 523 (App. Div. 1992), </w:t>
      </w:r>
      <w:r w:rsidRPr="001924DA">
        <w:rPr>
          <w:rFonts w:ascii="Times New Roman" w:hAnsi="Times New Roman"/>
          <w:sz w:val="22"/>
          <w:szCs w:val="22"/>
          <w:u w:val="single"/>
        </w:rPr>
        <w:t xml:space="preserve">aff’d </w:t>
      </w:r>
      <w:proofErr w:type="spellStart"/>
      <w:r w:rsidRPr="001924DA">
        <w:rPr>
          <w:rFonts w:ascii="Times New Roman" w:hAnsi="Times New Roman"/>
          <w:sz w:val="22"/>
          <w:szCs w:val="22"/>
          <w:u w:val="single"/>
        </w:rPr>
        <w:t>o.b.</w:t>
      </w:r>
      <w:proofErr w:type="spellEnd"/>
      <w:r w:rsidRPr="001924DA">
        <w:rPr>
          <w:rFonts w:ascii="Times New Roman" w:hAnsi="Times New Roman"/>
          <w:sz w:val="22"/>
          <w:szCs w:val="22"/>
        </w:rPr>
        <w:t xml:space="preserve"> 133 N.J. 481 (1993); </w:t>
      </w:r>
      <w:r w:rsidRPr="001924DA">
        <w:rPr>
          <w:rFonts w:ascii="Times New Roman" w:hAnsi="Times New Roman"/>
          <w:sz w:val="22"/>
          <w:szCs w:val="22"/>
          <w:u w:val="single"/>
        </w:rPr>
        <w:t>Jackson</w:t>
      </w:r>
      <w:r w:rsidRPr="001924DA">
        <w:rPr>
          <w:rFonts w:ascii="Times New Roman" w:hAnsi="Times New Roman"/>
          <w:sz w:val="22"/>
          <w:szCs w:val="22"/>
        </w:rPr>
        <w:t xml:space="preserve">, 326 N.J. Super. at 280. </w:t>
      </w:r>
    </w:p>
  </w:footnote>
  <w:footnote w:id="15">
    <w:p w14:paraId="6209F321" w14:textId="77777777" w:rsidR="00CF5BF1" w:rsidRPr="001924DA" w:rsidRDefault="00CF5BF1" w:rsidP="00AC4818">
      <w:pPr>
        <w:pStyle w:val="FootnoteText"/>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sz w:val="22"/>
          <w:szCs w:val="22"/>
        </w:rPr>
        <w:t xml:space="preserve"> </w:t>
      </w:r>
      <w:r w:rsidRPr="001924DA">
        <w:rPr>
          <w:rFonts w:ascii="Times New Roman" w:hAnsi="Times New Roman"/>
          <w:sz w:val="22"/>
          <w:szCs w:val="22"/>
        </w:rPr>
        <w:t>In New Jersey Superior Court, this document is known as a Judgment of Conviction. However, in Municipal Courts throughout this state and in other jurisdictions, the name of the document may vary.</w:t>
      </w:r>
    </w:p>
  </w:footnote>
  <w:footnote w:id="16">
    <w:p w14:paraId="32C12436"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When a defendant does not stipulate to a predicate offense under the certain persons statute, the State shall produce evidence of the predicate offense: the judgment of conviction with the unredacted nature of the offense, the degree of offense, and the date of conviction.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Bailey</w:t>
      </w:r>
      <w:r w:rsidRPr="001924DA">
        <w:rPr>
          <w:rFonts w:ascii="Times New Roman" w:hAnsi="Times New Roman"/>
          <w:sz w:val="22"/>
          <w:szCs w:val="22"/>
        </w:rPr>
        <w:t xml:space="preserve">, </w:t>
      </w:r>
      <w:r w:rsidRPr="001924DA">
        <w:rPr>
          <w:rFonts w:ascii="Times New Roman" w:hAnsi="Times New Roman"/>
          <w:sz w:val="22"/>
          <w:szCs w:val="22"/>
          <w:u w:val="single"/>
        </w:rPr>
        <w:t>supra</w:t>
      </w:r>
      <w:r w:rsidRPr="001924DA">
        <w:rPr>
          <w:rFonts w:ascii="Times New Roman" w:hAnsi="Times New Roman"/>
          <w:sz w:val="22"/>
          <w:szCs w:val="22"/>
        </w:rPr>
        <w:t xml:space="preserve">.  The court should redact from the Judgment of Conviction any information not relevant to what the </w:t>
      </w:r>
      <w:r w:rsidRPr="001924DA">
        <w:rPr>
          <w:rFonts w:ascii="Times New Roman" w:hAnsi="Times New Roman"/>
          <w:sz w:val="22"/>
          <w:szCs w:val="22"/>
          <w:u w:val="single"/>
        </w:rPr>
        <w:t>Bailey</w:t>
      </w:r>
      <w:r w:rsidRPr="001924DA">
        <w:rPr>
          <w:rFonts w:ascii="Times New Roman" w:hAnsi="Times New Roman"/>
          <w:sz w:val="22"/>
          <w:szCs w:val="22"/>
        </w:rPr>
        <w:t xml:space="preserve"> holding permits.</w:t>
      </w:r>
    </w:p>
  </w:footnote>
  <w:footnote w:id="17">
    <w:p w14:paraId="369702AF"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N.J.S.A. 2C:39-7(c).</w:t>
      </w:r>
    </w:p>
  </w:footnote>
  <w:footnote w:id="18">
    <w:p w14:paraId="5A4ECFF6"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See</w:t>
      </w:r>
      <w:r w:rsidRPr="001924DA">
        <w:rPr>
          <w:rFonts w:ascii="Times New Roman" w:hAnsi="Times New Roman"/>
          <w:sz w:val="22"/>
          <w:szCs w:val="22"/>
        </w:rPr>
        <w:t xml:space="preserve"> </w:t>
      </w:r>
      <w:r w:rsidRPr="001924DA">
        <w:rPr>
          <w:rFonts w:ascii="Times New Roman" w:hAnsi="Times New Roman"/>
          <w:sz w:val="22"/>
          <w:szCs w:val="22"/>
          <w:u w:val="single"/>
        </w:rPr>
        <w:t>State v. Marrero</w:t>
      </w:r>
      <w:r w:rsidRPr="001924DA">
        <w:rPr>
          <w:rFonts w:ascii="Times New Roman" w:hAnsi="Times New Roman"/>
          <w:sz w:val="22"/>
          <w:szCs w:val="22"/>
        </w:rPr>
        <w:t xml:space="preserve">, 148 N.J. 469, 495-96 (1997); </w:t>
      </w:r>
      <w:r w:rsidRPr="001924DA">
        <w:rPr>
          <w:rFonts w:ascii="Times New Roman" w:hAnsi="Times New Roman"/>
          <w:sz w:val="22"/>
          <w:szCs w:val="22"/>
          <w:u w:val="single"/>
        </w:rPr>
        <w:t>State v. Cusick</w:t>
      </w:r>
      <w:r w:rsidRPr="001924DA">
        <w:rPr>
          <w:rFonts w:ascii="Times New Roman" w:hAnsi="Times New Roman"/>
          <w:sz w:val="22"/>
          <w:szCs w:val="22"/>
        </w:rPr>
        <w:t xml:space="preserve">, 219 N.J. Super. 452, 466-67 (App. Div. 1987) (cited in </w:t>
      </w:r>
      <w:r w:rsidRPr="001924DA">
        <w:rPr>
          <w:rFonts w:ascii="Times New Roman" w:hAnsi="Times New Roman"/>
          <w:sz w:val="22"/>
          <w:szCs w:val="22"/>
          <w:u w:val="single"/>
        </w:rPr>
        <w:t>State v. Oliver</w:t>
      </w:r>
      <w:r w:rsidRPr="001924DA">
        <w:rPr>
          <w:rFonts w:ascii="Times New Roman" w:hAnsi="Times New Roman"/>
          <w:sz w:val="22"/>
          <w:szCs w:val="22"/>
        </w:rPr>
        <w:t>, 133 N.J. 141, 158 (1993)).</w:t>
      </w:r>
    </w:p>
  </w:footnote>
  <w:footnote w:id="19">
    <w:p w14:paraId="1C8CE8C9"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If defendant testifies, this portion of the charge should be altered. </w:t>
      </w:r>
    </w:p>
  </w:footnote>
  <w:footnote w:id="20">
    <w:p w14:paraId="64CB2762" w14:textId="77777777" w:rsidR="00CF5BF1" w:rsidRPr="001924DA" w:rsidRDefault="00CF5BF1" w:rsidP="00AC4818">
      <w:pPr>
        <w:pStyle w:val="Norm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Brown</w:t>
      </w:r>
      <w:r w:rsidRPr="001924DA">
        <w:rPr>
          <w:rFonts w:ascii="Times New Roman" w:hAnsi="Times New Roman"/>
          <w:sz w:val="22"/>
          <w:szCs w:val="22"/>
        </w:rPr>
        <w:t xml:space="preserve">, 180 N.J. at 583 (absence of information about </w:t>
      </w:r>
      <w:proofErr w:type="gramStart"/>
      <w:r w:rsidRPr="001924DA">
        <w:rPr>
          <w:rFonts w:ascii="Times New Roman" w:hAnsi="Times New Roman"/>
          <w:sz w:val="22"/>
          <w:szCs w:val="22"/>
        </w:rPr>
        <w:t>all of</w:t>
      </w:r>
      <w:proofErr w:type="gramEnd"/>
      <w:r w:rsidRPr="001924DA">
        <w:rPr>
          <w:rFonts w:ascii="Times New Roman" w:hAnsi="Times New Roman"/>
          <w:sz w:val="22"/>
          <w:szCs w:val="22"/>
        </w:rPr>
        <w:t xml:space="preserve"> the elements of the crime might cause the jury to question the criminality of the defendant’s conduct, and in turn influence the jury when it considers the possession element.)</w:t>
      </w:r>
    </w:p>
  </w:footnote>
  <w:footnote w:id="21">
    <w:p w14:paraId="60B2B590" w14:textId="77777777" w:rsidR="00CF5BF1" w:rsidRPr="001924DA" w:rsidRDefault="00CF5BF1" w:rsidP="00AC4818">
      <w:pPr>
        <w:pStyle w:val="Normal0"/>
        <w:keepLines w:val="0"/>
        <w:ind w:right="-72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The defendant may affirmatively request that this charge not be given. </w:t>
      </w:r>
      <w:r w:rsidRPr="001924DA">
        <w:rPr>
          <w:rFonts w:ascii="Times New Roman" w:hAnsi="Times New Roman"/>
          <w:sz w:val="22"/>
          <w:szCs w:val="22"/>
          <w:u w:val="single"/>
        </w:rPr>
        <w:t>Alvarez</w:t>
      </w:r>
      <w:r w:rsidRPr="001924DA">
        <w:rPr>
          <w:rFonts w:ascii="Times New Roman" w:hAnsi="Times New Roman"/>
          <w:sz w:val="22"/>
          <w:szCs w:val="22"/>
        </w:rPr>
        <w:t>, 318 N.J. Super. at 155.</w:t>
      </w:r>
    </w:p>
  </w:footnote>
  <w:footnote w:id="22">
    <w:p w14:paraId="42EC42C8" w14:textId="77777777" w:rsidR="00CF5BF1" w:rsidRPr="001924DA" w:rsidRDefault="00CF5BF1" w:rsidP="00AC4818">
      <w:pPr>
        <w:pStyle w:val="Normal0"/>
        <w:keepLines w:val="0"/>
        <w:jc w:val="both"/>
        <w:rPr>
          <w:rFonts w:ascii="Times New Roman" w:hAnsi="Times New Roman"/>
          <w:sz w:val="22"/>
          <w:szCs w:val="22"/>
        </w:rPr>
      </w:pPr>
      <w:r w:rsidRPr="001924DA">
        <w:rPr>
          <w:rStyle w:val="FootnoteReference"/>
          <w:rFonts w:ascii="Times New Roman" w:hAnsi="Times New Roman"/>
          <w:sz w:val="22"/>
          <w:szCs w:val="22"/>
          <w:vertAlign w:val="superscript"/>
        </w:rPr>
        <w:footnoteRef/>
      </w:r>
      <w:r w:rsidRPr="001924DA">
        <w:rPr>
          <w:rFonts w:ascii="Times New Roman" w:hAnsi="Times New Roman"/>
          <w:sz w:val="22"/>
          <w:szCs w:val="22"/>
        </w:rPr>
        <w:t xml:space="preserve">   </w:t>
      </w:r>
      <w:r w:rsidRPr="001924DA">
        <w:rPr>
          <w:rFonts w:ascii="Times New Roman" w:hAnsi="Times New Roman"/>
          <w:sz w:val="22"/>
          <w:szCs w:val="22"/>
          <w:u w:val="single"/>
        </w:rPr>
        <w:t>Alvarez</w:t>
      </w:r>
      <w:r w:rsidRPr="001924DA">
        <w:rPr>
          <w:rFonts w:ascii="Times New Roman" w:hAnsi="Times New Roman"/>
          <w:sz w:val="22"/>
          <w:szCs w:val="22"/>
        </w:rPr>
        <w:t>, 318 N.J. Super. at 154-55.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2199" w14:textId="77777777" w:rsidR="00CF5BF1" w:rsidRPr="00A45F17" w:rsidRDefault="00CF5BF1" w:rsidP="00401AAE">
    <w:pPr>
      <w:pStyle w:val="Header1"/>
      <w:rPr>
        <w:rFonts w:ascii="Times New Roman" w:hAnsi="Times New Roman"/>
        <w:b/>
        <w:sz w:val="22"/>
        <w:szCs w:val="22"/>
      </w:rPr>
    </w:pPr>
    <w:r w:rsidRPr="00A45F17">
      <w:rPr>
        <w:rFonts w:ascii="Times New Roman" w:hAnsi="Times New Roman"/>
        <w:b/>
        <w:sz w:val="22"/>
        <w:szCs w:val="22"/>
        <w:u w:val="single"/>
      </w:rPr>
      <w:t>CERTAIN PERSONS NOT TO HAVE</w:t>
    </w:r>
    <w:r>
      <w:rPr>
        <w:rFonts w:ascii="Times New Roman" w:hAnsi="Times New Roman"/>
        <w:b/>
        <w:sz w:val="22"/>
        <w:szCs w:val="22"/>
        <w:u w:val="single"/>
      </w:rPr>
      <w:t xml:space="preserve"> </w:t>
    </w:r>
    <w:r w:rsidR="00401AAE">
      <w:rPr>
        <w:rFonts w:ascii="Times New Roman" w:hAnsi="Times New Roman"/>
        <w:b/>
        <w:sz w:val="22"/>
        <w:szCs w:val="22"/>
        <w:u w:val="single"/>
      </w:rPr>
      <w:t>ANY WEAPONS</w:t>
    </w:r>
  </w:p>
  <w:p w14:paraId="0333D296" w14:textId="77777777" w:rsidR="00CF5BF1" w:rsidRPr="00A45F17" w:rsidRDefault="00CF5BF1" w:rsidP="00CF5BF1">
    <w:pPr>
      <w:pStyle w:val="Header1"/>
      <w:rPr>
        <w:rFonts w:ascii="Times New Roman" w:hAnsi="Times New Roman"/>
        <w:b/>
        <w:sz w:val="22"/>
        <w:szCs w:val="22"/>
      </w:rPr>
    </w:pPr>
    <w:r w:rsidRPr="00A45F17">
      <w:rPr>
        <w:rFonts w:ascii="Times New Roman" w:hAnsi="Times New Roman"/>
        <w:b/>
        <w:sz w:val="22"/>
        <w:szCs w:val="22"/>
      </w:rPr>
      <w:t>N.J.S.A. 2C:39-7</w:t>
    </w:r>
    <w:r>
      <w:rPr>
        <w:rFonts w:ascii="Times New Roman" w:hAnsi="Times New Roman"/>
        <w:b/>
        <w:sz w:val="22"/>
        <w:szCs w:val="22"/>
      </w:rPr>
      <w:t>(</w:t>
    </w:r>
    <w:r w:rsidR="00401AAE">
      <w:rPr>
        <w:rFonts w:ascii="Times New Roman" w:hAnsi="Times New Roman"/>
        <w:b/>
        <w:sz w:val="22"/>
        <w:szCs w:val="22"/>
      </w:rPr>
      <w:t>a)</w:t>
    </w:r>
  </w:p>
  <w:p w14:paraId="76227C76" w14:textId="77777777" w:rsidR="00CF5BF1" w:rsidRPr="007E6C5E" w:rsidRDefault="00CF5BF1" w:rsidP="00CF5BF1">
    <w:pPr>
      <w:pStyle w:val="Header1"/>
      <w:rPr>
        <w:rFonts w:ascii="Times New Roman" w:hAnsi="Times New Roman"/>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E8A1" w14:textId="2D1429DB" w:rsidR="00CF5BF1" w:rsidRPr="00DB48D4" w:rsidRDefault="00CF5BF1" w:rsidP="00CF5BF1">
    <w:pPr>
      <w:pStyle w:val="Header1"/>
      <w:jc w:val="right"/>
      <w:rPr>
        <w:rFonts w:ascii="Times New Roman" w:hAnsi="Times New Roman"/>
        <w:b/>
        <w:strike/>
        <w:sz w:val="22"/>
        <w:szCs w:val="22"/>
      </w:rPr>
    </w:pPr>
    <w:r w:rsidRPr="00DB48D4">
      <w:rPr>
        <w:rFonts w:ascii="Times New Roman" w:hAnsi="Times New Roman"/>
        <w:b/>
        <w:sz w:val="22"/>
        <w:szCs w:val="22"/>
      </w:rPr>
      <w:t xml:space="preserve">Revised </w:t>
    </w:r>
    <w:proofErr w:type="gramStart"/>
    <w:r w:rsidR="0092085A">
      <w:rPr>
        <w:rFonts w:ascii="Times New Roman" w:hAnsi="Times New Roman"/>
        <w:b/>
        <w:sz w:val="22"/>
        <w:szCs w:val="22"/>
      </w:rPr>
      <w:t>11/13</w:t>
    </w:r>
    <w:r w:rsidR="00EE7F44">
      <w:rPr>
        <w:rFonts w:ascii="Times New Roman" w:hAnsi="Times New Roman"/>
        <w:b/>
        <w:sz w:val="22"/>
        <w:szCs w:val="22"/>
      </w:rPr>
      <w:t>/23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987258"/>
    <w:lvl w:ilvl="0" w:tplc="409E5FFA">
      <w:start w:val="2"/>
      <w:numFmt w:val="decimal"/>
      <w:lvlText w:val="%1."/>
      <w:lvlJc w:val="left"/>
      <w:pPr>
        <w:tabs>
          <w:tab w:val="num" w:pos="1800"/>
        </w:tabs>
        <w:ind w:left="1800" w:hanging="360"/>
      </w:pPr>
      <w:rPr>
        <w:rFonts w:hint="default"/>
      </w:rPr>
    </w:lvl>
    <w:lvl w:ilvl="1" w:tplc="793ED818" w:tentative="1">
      <w:start w:val="1"/>
      <w:numFmt w:val="lowerLetter"/>
      <w:lvlText w:val="%2."/>
      <w:lvlJc w:val="left"/>
      <w:pPr>
        <w:tabs>
          <w:tab w:val="num" w:pos="2520"/>
        </w:tabs>
        <w:ind w:left="2520" w:hanging="360"/>
      </w:pPr>
    </w:lvl>
    <w:lvl w:ilvl="2" w:tplc="D16A562A" w:tentative="1">
      <w:start w:val="1"/>
      <w:numFmt w:val="lowerRoman"/>
      <w:lvlText w:val="%3."/>
      <w:lvlJc w:val="right"/>
      <w:pPr>
        <w:tabs>
          <w:tab w:val="num" w:pos="3240"/>
        </w:tabs>
        <w:ind w:left="3240" w:hanging="180"/>
      </w:pPr>
    </w:lvl>
    <w:lvl w:ilvl="3" w:tplc="20BE5D46" w:tentative="1">
      <w:start w:val="1"/>
      <w:numFmt w:val="decimal"/>
      <w:lvlText w:val="%4."/>
      <w:lvlJc w:val="left"/>
      <w:pPr>
        <w:tabs>
          <w:tab w:val="num" w:pos="3960"/>
        </w:tabs>
        <w:ind w:left="3960" w:hanging="360"/>
      </w:pPr>
    </w:lvl>
    <w:lvl w:ilvl="4" w:tplc="C0A400D4" w:tentative="1">
      <w:start w:val="1"/>
      <w:numFmt w:val="lowerLetter"/>
      <w:lvlText w:val="%5."/>
      <w:lvlJc w:val="left"/>
      <w:pPr>
        <w:tabs>
          <w:tab w:val="num" w:pos="4680"/>
        </w:tabs>
        <w:ind w:left="4680" w:hanging="360"/>
      </w:pPr>
    </w:lvl>
    <w:lvl w:ilvl="5" w:tplc="27A417B6" w:tentative="1">
      <w:start w:val="1"/>
      <w:numFmt w:val="lowerRoman"/>
      <w:lvlText w:val="%6."/>
      <w:lvlJc w:val="right"/>
      <w:pPr>
        <w:tabs>
          <w:tab w:val="num" w:pos="5400"/>
        </w:tabs>
        <w:ind w:left="5400" w:hanging="180"/>
      </w:pPr>
    </w:lvl>
    <w:lvl w:ilvl="6" w:tplc="24202DDE" w:tentative="1">
      <w:start w:val="1"/>
      <w:numFmt w:val="decimal"/>
      <w:lvlText w:val="%7."/>
      <w:lvlJc w:val="left"/>
      <w:pPr>
        <w:tabs>
          <w:tab w:val="num" w:pos="6120"/>
        </w:tabs>
        <w:ind w:left="6120" w:hanging="360"/>
      </w:pPr>
    </w:lvl>
    <w:lvl w:ilvl="7" w:tplc="25048EEE" w:tentative="1">
      <w:start w:val="1"/>
      <w:numFmt w:val="lowerLetter"/>
      <w:lvlText w:val="%8."/>
      <w:lvlJc w:val="left"/>
      <w:pPr>
        <w:tabs>
          <w:tab w:val="num" w:pos="6840"/>
        </w:tabs>
        <w:ind w:left="6840" w:hanging="360"/>
      </w:pPr>
    </w:lvl>
    <w:lvl w:ilvl="8" w:tplc="C20AA60E" w:tentative="1">
      <w:start w:val="1"/>
      <w:numFmt w:val="lowerRoman"/>
      <w:lvlText w:val="%9."/>
      <w:lvlJc w:val="right"/>
      <w:pPr>
        <w:tabs>
          <w:tab w:val="num" w:pos="7560"/>
        </w:tabs>
        <w:ind w:left="7560" w:hanging="180"/>
      </w:pPr>
    </w:lvl>
  </w:abstractNum>
  <w:num w:numId="1" w16cid:durableId="145163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F12DD"/>
    <w:rsid w:val="00107451"/>
    <w:rsid w:val="001625A5"/>
    <w:rsid w:val="001924DA"/>
    <w:rsid w:val="001F4415"/>
    <w:rsid w:val="002316C2"/>
    <w:rsid w:val="00244E4A"/>
    <w:rsid w:val="00401AAE"/>
    <w:rsid w:val="00474E32"/>
    <w:rsid w:val="005D29FB"/>
    <w:rsid w:val="0072733D"/>
    <w:rsid w:val="00731EF8"/>
    <w:rsid w:val="0092085A"/>
    <w:rsid w:val="00923B4F"/>
    <w:rsid w:val="009A6B21"/>
    <w:rsid w:val="00A26CA3"/>
    <w:rsid w:val="00A77B3E"/>
    <w:rsid w:val="00AB149D"/>
    <w:rsid w:val="00AC4818"/>
    <w:rsid w:val="00B76DDF"/>
    <w:rsid w:val="00CF5BF1"/>
    <w:rsid w:val="00D240E5"/>
    <w:rsid w:val="00D55078"/>
    <w:rsid w:val="00DB48D4"/>
    <w:rsid w:val="00DF14D8"/>
    <w:rsid w:val="00DF3D21"/>
    <w:rsid w:val="00E43272"/>
    <w:rsid w:val="00E47E58"/>
    <w:rsid w:val="00EE7F44"/>
    <w:rsid w:val="00EF51DB"/>
    <w:rsid w:val="00F0485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ADFB490"/>
  <w15:chartTrackingRefBased/>
  <w15:docId w15:val="{EE9E486B-8B59-4166-99B6-966B7FCC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qFormat/>
    <w:rsid w:val="00E50D9E"/>
    <w:pPr>
      <w:keepNext/>
      <w:ind w:left="4320"/>
      <w:outlineLvl w:val="0"/>
    </w:pPr>
    <w:rPr>
      <w:rFonts w:ascii="Times New Roman" w:eastAsia="Calibri" w:hAnsi="Times New Roman"/>
      <w:b/>
      <w:bCs/>
    </w:rPr>
  </w:style>
  <w:style w:type="paragraph" w:styleId="Heading2">
    <w:name w:val="heading 2"/>
    <w:basedOn w:val="Normal1"/>
    <w:next w:val="Normal1"/>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0"/>
    <w:link w:val="HeaderChar"/>
    <w:rsid w:val="00E50D9E"/>
    <w:pPr>
      <w:tabs>
        <w:tab w:val="center" w:pos="4320"/>
        <w:tab w:val="right" w:pos="8640"/>
      </w:tabs>
    </w:pPr>
    <w:rPr>
      <w:rFonts w:ascii="Calibri" w:eastAsia="Calibri" w:hAnsi="Calibri"/>
    </w:rPr>
  </w:style>
  <w:style w:type="paragraph" w:customStyle="1" w:styleId="Normal0">
    <w:name w:val="Normal_0"/>
    <w:qFormat/>
    <w:rsid w:val="009A6B21"/>
    <w:pPr>
      <w:keepLines/>
      <w:widowControl w:val="0"/>
      <w:autoSpaceDE w:val="0"/>
      <w:autoSpaceDN w:val="0"/>
      <w:adjustRightInd w:val="0"/>
    </w:pPr>
    <w:rPr>
      <w:rFonts w:ascii="Courier New" w:hAnsi="Courier New"/>
      <w:sz w:val="24"/>
      <w:szCs w:val="24"/>
    </w:rPr>
  </w:style>
  <w:style w:type="character" w:customStyle="1" w:styleId="HeaderChar">
    <w:name w:val="Header Char"/>
    <w:link w:val="Header"/>
    <w:rsid w:val="00E50D9E"/>
    <w:rPr>
      <w:rFonts w:ascii="Courier New" w:eastAsia="Times New Roman" w:hAnsi="Courier New" w:cs="Times New Roman"/>
      <w:sz w:val="24"/>
      <w:szCs w:val="24"/>
    </w:rPr>
  </w:style>
  <w:style w:type="paragraph" w:styleId="Footer">
    <w:name w:val="footer"/>
    <w:basedOn w:val="Normal0"/>
    <w:link w:val="FooterChar"/>
    <w:rsid w:val="00E50D9E"/>
    <w:pPr>
      <w:tabs>
        <w:tab w:val="center" w:pos="4320"/>
        <w:tab w:val="right" w:pos="8640"/>
      </w:tabs>
    </w:pPr>
    <w:rPr>
      <w:rFonts w:ascii="Calibri" w:eastAsia="Calibri" w:hAnsi="Calibri"/>
    </w:rPr>
  </w:style>
  <w:style w:type="character" w:customStyle="1" w:styleId="FooterChar">
    <w:name w:val="Footer Char"/>
    <w:link w:val="Footer"/>
    <w:rsid w:val="00E50D9E"/>
    <w:rPr>
      <w:rFonts w:ascii="Courier New" w:eastAsia="Times New Roman" w:hAnsi="Courier New" w:cs="Times New Roman"/>
      <w:sz w:val="24"/>
      <w:szCs w:val="24"/>
    </w:rPr>
  </w:style>
  <w:style w:type="character" w:styleId="FootnoteReference">
    <w:name w:val="footnote reference"/>
    <w:semiHidden/>
    <w:rsid w:val="00E50D9E"/>
    <w:rPr>
      <w:rFonts w:ascii="Calibri" w:eastAsia="Calibri" w:hAnsi="Calibri"/>
    </w:rPr>
  </w:style>
  <w:style w:type="character" w:customStyle="1" w:styleId="Heading1Char">
    <w:name w:val="Heading 1 Char"/>
    <w:link w:val="Heading1"/>
    <w:rsid w:val="00E50D9E"/>
    <w:rPr>
      <w:rFonts w:ascii="Times New Roman" w:eastAsia="Times New Roman" w:hAnsi="Times New Roman" w:cs="Times New Roman"/>
      <w:b/>
      <w:bCs/>
      <w:sz w:val="24"/>
      <w:szCs w:val="24"/>
    </w:rPr>
  </w:style>
  <w:style w:type="paragraph" w:styleId="BodyText2">
    <w:name w:val="Body Text 2"/>
    <w:basedOn w:val="Normal0"/>
    <w:link w:val="BodyText2Char"/>
    <w:rsid w:val="00E50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alibri" w:eastAsia="Calibri" w:hAnsi="Calibri"/>
      <w:b/>
      <w:bCs/>
    </w:rPr>
  </w:style>
  <w:style w:type="character" w:customStyle="1" w:styleId="BodyText2Char">
    <w:name w:val="Body Text 2 Char"/>
    <w:link w:val="BodyText2"/>
    <w:rsid w:val="00E50D9E"/>
    <w:rPr>
      <w:rFonts w:ascii="Courier New" w:eastAsia="Times New Roman" w:hAnsi="Courier New" w:cs="Times New Roman"/>
      <w:b/>
      <w:bCs/>
      <w:sz w:val="24"/>
      <w:szCs w:val="24"/>
    </w:rPr>
  </w:style>
  <w:style w:type="paragraph" w:styleId="FootnoteText">
    <w:name w:val="footnote text"/>
    <w:basedOn w:val="Normal0"/>
    <w:link w:val="FootnoteTextChar"/>
    <w:uiPriority w:val="99"/>
    <w:semiHidden/>
    <w:unhideWhenUsed/>
    <w:rsid w:val="00F13D76"/>
    <w:rPr>
      <w:rFonts w:ascii="Calibri" w:eastAsia="Calibri" w:hAnsi="Calibri"/>
      <w:sz w:val="20"/>
      <w:szCs w:val="20"/>
    </w:rPr>
  </w:style>
  <w:style w:type="character" w:customStyle="1" w:styleId="FootnoteTextChar">
    <w:name w:val="Footnote Text Char"/>
    <w:link w:val="FootnoteText"/>
    <w:uiPriority w:val="99"/>
    <w:semiHidden/>
    <w:rsid w:val="00F13D76"/>
    <w:rPr>
      <w:rFonts w:ascii="Courier New" w:eastAsia="Times New Roman" w:hAnsi="Courier New"/>
    </w:rPr>
  </w:style>
  <w:style w:type="paragraph" w:styleId="BlockText">
    <w:name w:val="Block Text"/>
    <w:basedOn w:val="Normal0"/>
    <w:rsid w:val="00E50D9E"/>
    <w:pPr>
      <w:tabs>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1440"/>
      <w:jc w:val="both"/>
    </w:pPr>
    <w:rPr>
      <w:rFonts w:ascii="Times New Roman" w:eastAsia="Calibri" w:hAnsi="Times New Roman"/>
    </w:rPr>
  </w:style>
  <w:style w:type="paragraph" w:styleId="BodyTextIndent">
    <w:name w:val="Body Text Indent"/>
    <w:basedOn w:val="Normal0"/>
    <w:link w:val="BodyTextIndentChar"/>
    <w:rsid w:val="00E50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pPr>
    <w:rPr>
      <w:rFonts w:ascii="Times New Roman" w:eastAsia="Calibri" w:hAnsi="Times New Roman"/>
    </w:rPr>
  </w:style>
  <w:style w:type="character" w:customStyle="1" w:styleId="BodyTextIndentChar">
    <w:name w:val="Body Text Indent Char"/>
    <w:link w:val="BodyTextIndent"/>
    <w:rsid w:val="00E50D9E"/>
    <w:rPr>
      <w:rFonts w:ascii="Times New Roman" w:eastAsia="Times New Roman" w:hAnsi="Times New Roman" w:cs="Times New Roman"/>
      <w:sz w:val="24"/>
      <w:szCs w:val="24"/>
    </w:rPr>
  </w:style>
  <w:style w:type="paragraph" w:styleId="BodyTextIndent2">
    <w:name w:val="Body Text Indent 2"/>
    <w:basedOn w:val="Normal0"/>
    <w:link w:val="BodyTextIndent2Char"/>
    <w:rsid w:val="00E50D9E"/>
    <w:pPr>
      <w:spacing w:line="360" w:lineRule="auto"/>
      <w:ind w:firstLine="1440"/>
      <w:jc w:val="both"/>
    </w:pPr>
    <w:rPr>
      <w:rFonts w:ascii="Times New Roman" w:eastAsia="Calibri" w:hAnsi="Times New Roman"/>
    </w:rPr>
  </w:style>
  <w:style w:type="character" w:customStyle="1" w:styleId="BodyTextIndent2Char">
    <w:name w:val="Body Text Indent 2 Char"/>
    <w:link w:val="BodyTextIndent2"/>
    <w:rsid w:val="00E50D9E"/>
    <w:rPr>
      <w:rFonts w:ascii="Times New Roman" w:eastAsia="Times New Roman" w:hAnsi="Times New Roman" w:cs="Times New Roman"/>
      <w:sz w:val="24"/>
      <w:szCs w:val="24"/>
    </w:rPr>
  </w:style>
  <w:style w:type="paragraph" w:styleId="BodyTextIndent3">
    <w:name w:val="Body Text Indent 3"/>
    <w:basedOn w:val="Normal0"/>
    <w:link w:val="BodyTextIndent3Char"/>
    <w:rsid w:val="00E50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40"/>
    </w:pPr>
    <w:rPr>
      <w:rFonts w:ascii="Times New Roman" w:eastAsia="Calibri" w:hAnsi="Times New Roman"/>
    </w:rPr>
  </w:style>
  <w:style w:type="character" w:customStyle="1" w:styleId="BodyTextIndent3Char">
    <w:name w:val="Body Text Indent 3 Char"/>
    <w:link w:val="BodyTextIndent3"/>
    <w:rsid w:val="00E50D9E"/>
    <w:rPr>
      <w:rFonts w:ascii="Times New Roman" w:eastAsia="Times New Roman" w:hAnsi="Times New Roman" w:cs="Times New Roman"/>
      <w:sz w:val="24"/>
      <w:szCs w:val="24"/>
    </w:rPr>
  </w:style>
  <w:style w:type="paragraph" w:styleId="BodyText">
    <w:name w:val="Body Text"/>
    <w:basedOn w:val="Normal0"/>
    <w:link w:val="BodyTextChar"/>
    <w:uiPriority w:val="99"/>
    <w:semiHidden/>
    <w:unhideWhenUsed/>
    <w:rsid w:val="00E50D9E"/>
    <w:pPr>
      <w:spacing w:after="120"/>
    </w:pPr>
    <w:rPr>
      <w:rFonts w:ascii="Calibri" w:eastAsia="Calibri" w:hAnsi="Calibri"/>
    </w:rPr>
  </w:style>
  <w:style w:type="character" w:customStyle="1" w:styleId="BodyTextChar">
    <w:name w:val="Body Text Char"/>
    <w:link w:val="BodyText"/>
    <w:uiPriority w:val="99"/>
    <w:semiHidden/>
    <w:rsid w:val="00E50D9E"/>
    <w:rPr>
      <w:rFonts w:ascii="Courier New" w:eastAsia="Times New Roman" w:hAnsi="Courier New" w:cs="Times New Roman"/>
      <w:sz w:val="24"/>
      <w:szCs w:val="24"/>
    </w:rPr>
  </w:style>
  <w:style w:type="paragraph" w:customStyle="1" w:styleId="Header0">
    <w:name w:val="Header_0"/>
    <w:basedOn w:val="Normal1"/>
    <w:pPr>
      <w:tabs>
        <w:tab w:val="center" w:pos="4320"/>
        <w:tab w:val="right" w:pos="8640"/>
      </w:tabs>
    </w:pPr>
  </w:style>
  <w:style w:type="paragraph" w:customStyle="1" w:styleId="Normal1">
    <w:name w:val="Normal_1"/>
    <w:qFormat/>
    <w:pPr>
      <w:widowControl w:val="0"/>
      <w:autoSpaceDE w:val="0"/>
      <w:autoSpaceDN w:val="0"/>
      <w:adjustRightInd w:val="0"/>
    </w:pPr>
    <w:rPr>
      <w:rFonts w:ascii="Courier New" w:hAnsi="Courier New"/>
      <w:sz w:val="24"/>
      <w:szCs w:val="24"/>
    </w:rPr>
  </w:style>
  <w:style w:type="paragraph" w:customStyle="1" w:styleId="Footer0">
    <w:name w:val="Footer_0"/>
    <w:basedOn w:val="Normal1"/>
    <w:pPr>
      <w:tabs>
        <w:tab w:val="center" w:pos="4320"/>
        <w:tab w:val="right" w:pos="8640"/>
      </w:tabs>
    </w:pPr>
  </w:style>
  <w:style w:type="character" w:customStyle="1" w:styleId="FootnoteReference0">
    <w:name w:val="Footnote Reference_0"/>
    <w:semiHidden/>
  </w:style>
  <w:style w:type="paragraph" w:customStyle="1" w:styleId="Heading10">
    <w:name w:val="Heading 1_0"/>
    <w:basedOn w:val="Normal1"/>
    <w:next w:val="Normal1"/>
    <w:qFormat/>
    <w:pPr>
      <w:keepNext/>
      <w:ind w:left="4320"/>
      <w:outlineLvl w:val="0"/>
    </w:pPr>
    <w:rPr>
      <w:rFonts w:ascii="Times New Roman" w:hAnsi="Times New Roman"/>
      <w:b/>
      <w:bCs/>
      <w:u w:val="single"/>
    </w:rPr>
  </w:style>
  <w:style w:type="paragraph" w:customStyle="1" w:styleId="BodyText20">
    <w:name w:val="Body Text 2_0"/>
    <w:basedOn w:val="Normal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BodyTextIndent30">
    <w:name w:val="Body Text Indent 3_0"/>
    <w:basedOn w:val="Normal1"/>
    <w:pPr>
      <w:spacing w:line="360" w:lineRule="auto"/>
      <w:ind w:firstLine="720"/>
      <w:jc w:val="both"/>
    </w:pPr>
    <w:rPr>
      <w:rFonts w:ascii="Times New Roman" w:hAnsi="Times New Roman"/>
    </w:rPr>
  </w:style>
  <w:style w:type="paragraph" w:customStyle="1" w:styleId="FootnoteText0">
    <w:name w:val="Footnote Text_0"/>
    <w:basedOn w:val="Normal1"/>
    <w:link w:val="FootnoteTextChar0"/>
    <w:rsid w:val="00CB732F"/>
    <w:rPr>
      <w:sz w:val="20"/>
      <w:szCs w:val="20"/>
    </w:rPr>
  </w:style>
  <w:style w:type="character" w:customStyle="1" w:styleId="FootnoteTextChar0">
    <w:name w:val="Footnote Text Char_0"/>
    <w:link w:val="FootnoteText0"/>
    <w:rsid w:val="00CB732F"/>
    <w:rPr>
      <w:rFonts w:ascii="Courier New" w:hAnsi="Courier New"/>
    </w:rPr>
  </w:style>
  <w:style w:type="paragraph" w:customStyle="1" w:styleId="BodyTextIndent0">
    <w:name w:val="Body Text Indent_0"/>
    <w:basedOn w:val="Normal1"/>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360" w:lineRule="auto"/>
      <w:ind w:firstLine="720"/>
    </w:pPr>
    <w:rPr>
      <w:rFonts w:ascii="Times New Roman" w:hAnsi="Times New Roman"/>
    </w:rPr>
  </w:style>
  <w:style w:type="paragraph" w:customStyle="1" w:styleId="Header1">
    <w:name w:val="Header_1"/>
    <w:basedOn w:val="Normal2"/>
    <w:rsid w:val="006339A6"/>
    <w:pPr>
      <w:tabs>
        <w:tab w:val="center" w:pos="4320"/>
        <w:tab w:val="right" w:pos="8640"/>
      </w:tabs>
    </w:pPr>
  </w:style>
  <w:style w:type="paragraph" w:customStyle="1" w:styleId="Normal2">
    <w:name w:val="Normal_2"/>
    <w:qFormat/>
    <w:pPr>
      <w:widowControl w:val="0"/>
      <w:autoSpaceDE w:val="0"/>
      <w:autoSpaceDN w:val="0"/>
      <w:adjustRightInd w:val="0"/>
    </w:pPr>
    <w:rPr>
      <w:rFonts w:ascii="Courier New" w:hAnsi="Courier New"/>
      <w:sz w:val="24"/>
      <w:szCs w:val="24"/>
    </w:rPr>
  </w:style>
  <w:style w:type="paragraph" w:customStyle="1" w:styleId="Footer1">
    <w:name w:val="Footer_1"/>
    <w:basedOn w:val="Normal2"/>
    <w:rsid w:val="006339A6"/>
    <w:pPr>
      <w:tabs>
        <w:tab w:val="center" w:pos="4320"/>
        <w:tab w:val="right" w:pos="8640"/>
      </w:tabs>
    </w:pPr>
  </w:style>
  <w:style w:type="paragraph" w:customStyle="1" w:styleId="BodyText21">
    <w:name w:val="Body Text 2_1"/>
    <w:basedOn w:val="Normal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FootnoteReference1">
    <w:name w:val="Footnote Reference_1"/>
    <w:semiHidden/>
  </w:style>
  <w:style w:type="paragraph" w:customStyle="1" w:styleId="FootnoteText1">
    <w:name w:val="Footnote Text_1"/>
    <w:basedOn w:val="Normal2"/>
    <w:rsid w:val="005F4095"/>
    <w:rPr>
      <w:sz w:val="20"/>
      <w:szCs w:val="20"/>
    </w:rPr>
  </w:style>
  <w:style w:type="paragraph" w:customStyle="1" w:styleId="Heading20">
    <w:name w:val="Heading 2_0"/>
    <w:basedOn w:val="Normal2"/>
    <w:next w:val="Normal2"/>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2267</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Paravecchia</dc:creator>
  <cp:keywords/>
  <cp:lastModifiedBy>Jamey Robinson</cp:lastModifiedBy>
  <cp:revision>3</cp:revision>
  <cp:lastPrinted>2023-11-27T17:46:00Z</cp:lastPrinted>
  <dcterms:created xsi:type="dcterms:W3CDTF">2023-11-27T17:46:00Z</dcterms:created>
  <dcterms:modified xsi:type="dcterms:W3CDTF">2023-11-27T17:46:00Z</dcterms:modified>
</cp:coreProperties>
</file>